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85933" w14:textId="77777777" w:rsidR="00064E89" w:rsidRPr="00064E89" w:rsidRDefault="00064E89" w:rsidP="00064E89">
      <w:pPr>
        <w:pStyle w:val="Title"/>
        <w:rPr>
          <w:rFonts w:ascii="Calibri" w:hAnsi="Calibri"/>
        </w:rPr>
      </w:pPr>
      <w:bookmarkStart w:id="0" w:name="_GoBack"/>
      <w:bookmarkEnd w:id="0"/>
      <w:r w:rsidRPr="00064E89">
        <w:rPr>
          <w:rFonts w:ascii="Calibri" w:hAnsi="Calibri"/>
        </w:rPr>
        <w:t>Oregon Prescription Drug Overdose Project</w:t>
      </w:r>
    </w:p>
    <w:p w14:paraId="79C2E92B" w14:textId="77777777" w:rsidR="00064E89" w:rsidRPr="00064E89" w:rsidRDefault="00064E89" w:rsidP="00064E89">
      <w:pPr>
        <w:pStyle w:val="Title"/>
        <w:rPr>
          <w:rFonts w:ascii="Calibri" w:hAnsi="Calibri"/>
        </w:rPr>
      </w:pPr>
      <w:r w:rsidRPr="00064E89">
        <w:rPr>
          <w:rFonts w:ascii="Calibri" w:hAnsi="Calibri"/>
        </w:rPr>
        <w:t>Pain Management and Safe Opioid Therapy in Primary Care</w:t>
      </w:r>
    </w:p>
    <w:p w14:paraId="45780930" w14:textId="77777777" w:rsidR="00064E89" w:rsidRPr="00064E89" w:rsidRDefault="00064E89" w:rsidP="00064E89">
      <w:pPr>
        <w:pStyle w:val="Title"/>
        <w:rPr>
          <w:rFonts w:ascii="Calibri" w:hAnsi="Calibri"/>
        </w:rPr>
      </w:pPr>
      <w:r w:rsidRPr="00064E89">
        <w:rPr>
          <w:rFonts w:ascii="Calibri" w:hAnsi="Calibri"/>
        </w:rPr>
        <w:t>Six Building Blocks and Self-Assessment Questionnaire</w:t>
      </w:r>
    </w:p>
    <w:p w14:paraId="290545F0" w14:textId="3536F878" w:rsidR="00064E89" w:rsidRPr="00064E89" w:rsidRDefault="00373818" w:rsidP="00064E89">
      <w:pPr>
        <w:jc w:val="center"/>
        <w:rPr>
          <w:rFonts w:ascii="Calibri" w:hAnsi="Calibri"/>
          <w:b/>
          <w:color w:val="C00000"/>
          <w:sz w:val="24"/>
          <w:szCs w:val="24"/>
        </w:rPr>
      </w:pPr>
      <w:r>
        <w:rPr>
          <w:rFonts w:ascii="Calibri" w:hAnsi="Calibri"/>
          <w:b/>
          <w:color w:val="C00000"/>
          <w:sz w:val="24"/>
          <w:szCs w:val="24"/>
        </w:rPr>
        <w:t>September 2</w:t>
      </w:r>
      <w:r w:rsidR="0068473B">
        <w:rPr>
          <w:rFonts w:ascii="Calibri" w:hAnsi="Calibri"/>
          <w:b/>
          <w:color w:val="C00000"/>
          <w:sz w:val="24"/>
          <w:szCs w:val="24"/>
        </w:rPr>
        <w:t>2</w:t>
      </w:r>
      <w:r>
        <w:rPr>
          <w:rFonts w:ascii="Calibri" w:hAnsi="Calibri"/>
          <w:b/>
          <w:color w:val="C00000"/>
          <w:sz w:val="24"/>
          <w:szCs w:val="24"/>
        </w:rPr>
        <w:t>,</w:t>
      </w:r>
      <w:r w:rsidR="00064E89" w:rsidRPr="00064E89">
        <w:rPr>
          <w:rFonts w:ascii="Calibri" w:hAnsi="Calibri"/>
          <w:b/>
          <w:color w:val="C00000"/>
          <w:sz w:val="24"/>
          <w:szCs w:val="24"/>
        </w:rPr>
        <w:t xml:space="preserve"> 2017</w:t>
      </w:r>
    </w:p>
    <w:p w14:paraId="4A58D750" w14:textId="77777777" w:rsidR="00064E89" w:rsidRPr="00064E89" w:rsidRDefault="00064E89" w:rsidP="00064E89">
      <w:pPr>
        <w:pStyle w:val="Heading3"/>
        <w:rPr>
          <w:rFonts w:ascii="Calibri" w:hAnsi="Calibri"/>
        </w:rPr>
      </w:pPr>
      <w:r w:rsidRPr="00064E89">
        <w:rPr>
          <w:rFonts w:ascii="Calibri" w:hAnsi="Calibri"/>
        </w:rPr>
        <w:t>Background</w:t>
      </w:r>
    </w:p>
    <w:p w14:paraId="4D48EAB5" w14:textId="77777777" w:rsidR="00064E89" w:rsidRPr="00064E89" w:rsidRDefault="00064E89" w:rsidP="00064E89">
      <w:pPr>
        <w:pStyle w:val="bbb"/>
        <w:spacing w:after="60"/>
        <w:rPr>
          <w:rFonts w:ascii="Calibri" w:hAnsi="Calibri"/>
        </w:rPr>
      </w:pPr>
      <w:r w:rsidRPr="00064E89">
        <w:rPr>
          <w:rFonts w:ascii="Calibri" w:hAnsi="Calibri"/>
        </w:rPr>
        <w:t xml:space="preserve">The Six Building Blocks© were developed as part of a research project on </w:t>
      </w:r>
      <w:r w:rsidRPr="00064E89">
        <w:rPr>
          <w:rFonts w:ascii="Calibri" w:hAnsi="Calibri"/>
          <w:b/>
        </w:rPr>
        <w:t>Team Based Opioid Management</w:t>
      </w:r>
      <w:r w:rsidRPr="00064E89">
        <w:rPr>
          <w:rFonts w:ascii="Calibri" w:hAnsi="Calibri"/>
        </w:rPr>
        <w:t xml:space="preserve"> in rural clinics.  The three year research study is </w:t>
      </w:r>
      <w:proofErr w:type="gramStart"/>
      <w:r w:rsidRPr="00064E89">
        <w:rPr>
          <w:rFonts w:ascii="Calibri" w:hAnsi="Calibri"/>
        </w:rPr>
        <w:t>a collaboration</w:t>
      </w:r>
      <w:proofErr w:type="gramEnd"/>
      <w:r w:rsidRPr="00064E89">
        <w:rPr>
          <w:rFonts w:ascii="Calibri" w:hAnsi="Calibri"/>
        </w:rPr>
        <w:t xml:space="preserve"> between 20 rural and rural-serving clinics in Washington and Idaho.  Funding is provided by the U.S. </w:t>
      </w:r>
      <w:proofErr w:type="gramStart"/>
      <w:r w:rsidRPr="00064E89">
        <w:rPr>
          <w:rFonts w:ascii="Calibri" w:hAnsi="Calibri"/>
        </w:rPr>
        <w:t>DHHS  AHRQ</w:t>
      </w:r>
      <w:proofErr w:type="gramEnd"/>
      <w:r w:rsidRPr="00064E89">
        <w:rPr>
          <w:rFonts w:ascii="Calibri" w:hAnsi="Calibri"/>
        </w:rPr>
        <w:t xml:space="preserve"> grant # R18HS023750.  For further information, contact Dr. Michael </w:t>
      </w:r>
      <w:proofErr w:type="spellStart"/>
      <w:r w:rsidRPr="00064E89">
        <w:rPr>
          <w:rFonts w:ascii="Calibri" w:hAnsi="Calibri"/>
        </w:rPr>
        <w:t>Parchman</w:t>
      </w:r>
      <w:proofErr w:type="spellEnd"/>
      <w:r w:rsidRPr="00064E89">
        <w:rPr>
          <w:rFonts w:ascii="Calibri" w:hAnsi="Calibri"/>
        </w:rPr>
        <w:t xml:space="preserve"> (</w:t>
      </w:r>
      <w:hyperlink r:id="rId9" w:history="1">
        <w:r w:rsidRPr="00064E89">
          <w:rPr>
            <w:rStyle w:val="Hyperlink"/>
            <w:rFonts w:ascii="Calibri" w:hAnsi="Calibri"/>
          </w:rPr>
          <w:t>parchman.m@ghc.org</w:t>
        </w:r>
      </w:hyperlink>
      <w:r w:rsidRPr="00064E89">
        <w:rPr>
          <w:rFonts w:ascii="Calibri" w:hAnsi="Calibri"/>
        </w:rPr>
        <w:t xml:space="preserve"> ) Director, </w:t>
      </w:r>
      <w:proofErr w:type="spellStart"/>
      <w:r w:rsidRPr="00064E89">
        <w:rPr>
          <w:rFonts w:ascii="Calibri" w:hAnsi="Calibri"/>
        </w:rPr>
        <w:t>MacColl</w:t>
      </w:r>
      <w:proofErr w:type="spellEnd"/>
      <w:r w:rsidRPr="00064E89">
        <w:rPr>
          <w:rFonts w:ascii="Calibri" w:hAnsi="Calibri"/>
        </w:rPr>
        <w:t xml:space="preserve"> Center for Innovation, Kaiser Permanente Washington Health Research Institute.</w:t>
      </w:r>
    </w:p>
    <w:p w14:paraId="01610902" w14:textId="77777777" w:rsidR="00064E89" w:rsidRPr="00064E89" w:rsidRDefault="00064E89" w:rsidP="00064E89">
      <w:pPr>
        <w:pStyle w:val="bbb"/>
        <w:spacing w:after="60"/>
        <w:rPr>
          <w:rFonts w:ascii="Calibri" w:hAnsi="Calibri"/>
          <w:sz w:val="21"/>
          <w:szCs w:val="21"/>
        </w:rPr>
      </w:pPr>
      <w:r w:rsidRPr="00064E89">
        <w:rPr>
          <w:rFonts w:ascii="Calibri" w:hAnsi="Calibri"/>
        </w:rPr>
        <w:t xml:space="preserve">The Six Building Blocks have been adapted for the </w:t>
      </w:r>
      <w:r w:rsidRPr="00064E89">
        <w:rPr>
          <w:rFonts w:ascii="Calibri" w:hAnsi="Calibri"/>
          <w:b/>
        </w:rPr>
        <w:t>Oregon State Prescription Drug Overdose (PDO) project</w:t>
      </w:r>
      <w:r w:rsidRPr="00064E89">
        <w:rPr>
          <w:rFonts w:ascii="Calibri" w:hAnsi="Calibri"/>
        </w:rPr>
        <w:t xml:space="preserve">.  This project is broader in scope and scale, involving eight regions in Oregon and their respective local healthcare communities and agencies.  The target organizations vary from sole practitioners to larger health care </w:t>
      </w:r>
      <w:proofErr w:type="gramStart"/>
      <w:r w:rsidRPr="00064E89">
        <w:rPr>
          <w:rFonts w:ascii="Calibri" w:hAnsi="Calibri"/>
        </w:rPr>
        <w:t>systems .</w:t>
      </w:r>
      <w:proofErr w:type="gramEnd"/>
      <w:r w:rsidRPr="00064E89">
        <w:rPr>
          <w:rFonts w:ascii="Calibri" w:hAnsi="Calibri"/>
        </w:rPr>
        <w:t xml:space="preserve"> For information on the PDO project, contact Lisa Shields (</w:t>
      </w:r>
      <w:hyperlink r:id="rId10" w:history="1">
        <w:r w:rsidRPr="00064E89">
          <w:rPr>
            <w:rStyle w:val="Hyperlink"/>
            <w:rFonts w:ascii="Calibri" w:hAnsi="Calibri"/>
          </w:rPr>
          <w:t>lisa.m.shields@dhsoha.state.or.us</w:t>
        </w:r>
      </w:hyperlink>
      <w:r w:rsidRPr="00064E89">
        <w:rPr>
          <w:rFonts w:ascii="Calibri" w:hAnsi="Calibri"/>
        </w:rPr>
        <w:t xml:space="preserve"> ) PDO project manager, Oregon Health Authority.  For information on the PDO Six Building Blocks, contact Mark Stephens (</w:t>
      </w:r>
      <w:hyperlink r:id="rId11" w:history="1">
        <w:r w:rsidRPr="00064E89">
          <w:rPr>
            <w:rStyle w:val="Hyperlink"/>
            <w:rFonts w:ascii="Calibri" w:hAnsi="Calibri"/>
          </w:rPr>
          <w:t>mark.r.stephens@comcast.net</w:t>
        </w:r>
      </w:hyperlink>
      <w:r w:rsidRPr="00064E89">
        <w:rPr>
          <w:rFonts w:ascii="Calibri" w:hAnsi="Calibri"/>
        </w:rPr>
        <w:t xml:space="preserve"> ) PDO project consultant.</w:t>
      </w:r>
    </w:p>
    <w:p w14:paraId="02A350BF" w14:textId="77777777" w:rsidR="00064E89" w:rsidRPr="00064E89" w:rsidRDefault="00064E89" w:rsidP="00064E89">
      <w:pPr>
        <w:pStyle w:val="bbb"/>
        <w:spacing w:after="60"/>
        <w:rPr>
          <w:rFonts w:ascii="Calibri" w:hAnsi="Calibri"/>
        </w:rPr>
      </w:pPr>
      <w:r w:rsidRPr="00064E89">
        <w:rPr>
          <w:rFonts w:ascii="Calibri" w:hAnsi="Calibri"/>
          <w:b/>
        </w:rPr>
        <w:t>CDC Guidelines Alignment</w:t>
      </w:r>
      <w:r w:rsidRPr="00064E89">
        <w:rPr>
          <w:rFonts w:ascii="Calibri" w:hAnsi="Calibri"/>
        </w:rPr>
        <w:t xml:space="preserve"> – The </w:t>
      </w:r>
      <w:hyperlink r:id="rId12" w:history="1">
        <w:r w:rsidRPr="00064E89">
          <w:rPr>
            <w:rStyle w:val="Hyperlink"/>
            <w:rFonts w:ascii="Calibri" w:hAnsi="Calibri"/>
          </w:rPr>
          <w:t>CDC Guideline for Prescribing Opioids for Chronic Pain</w:t>
        </w:r>
      </w:hyperlink>
      <w:r w:rsidRPr="00064E89">
        <w:rPr>
          <w:rFonts w:ascii="Calibri" w:hAnsi="Calibri"/>
        </w:rPr>
        <w:t xml:space="preserve"> has 12 recommended policies for prescribers.  </w:t>
      </w:r>
      <w:r w:rsidRPr="00064E89">
        <w:rPr>
          <w:rFonts w:ascii="Calibri" w:hAnsi="Calibri"/>
          <w:i/>
        </w:rPr>
        <w:t xml:space="preserve">All the CDC recommendations are incorporated in Building Block #2. </w:t>
      </w:r>
      <w:r w:rsidRPr="00064E89">
        <w:rPr>
          <w:rFonts w:ascii="Calibri" w:hAnsi="Calibri"/>
        </w:rPr>
        <w:t>We cross reference the CDC recommendations.</w:t>
      </w:r>
    </w:p>
    <w:p w14:paraId="4E5D59A6" w14:textId="77777777" w:rsidR="00064E89" w:rsidRPr="00064E89" w:rsidRDefault="00064E89" w:rsidP="00064E89">
      <w:pPr>
        <w:pStyle w:val="Title"/>
        <w:rPr>
          <w:rFonts w:ascii="Calibri" w:hAnsi="Calibri"/>
        </w:rPr>
      </w:pPr>
      <w:r w:rsidRPr="00064E89">
        <w:rPr>
          <w:rFonts w:ascii="Calibri" w:hAnsi="Calibri"/>
        </w:rPr>
        <w:t>Overview of the Six Building Blocks</w:t>
      </w:r>
    </w:p>
    <w:p w14:paraId="6E45055C" w14:textId="77777777" w:rsidR="00064E89" w:rsidRPr="00064E89" w:rsidRDefault="00064E89" w:rsidP="00064E89">
      <w:pPr>
        <w:pStyle w:val="Heading3"/>
        <w:rPr>
          <w:rFonts w:ascii="Calibri" w:hAnsi="Calibri"/>
        </w:rPr>
      </w:pPr>
      <w:r w:rsidRPr="00064E89">
        <w:rPr>
          <w:rFonts w:ascii="Calibri" w:hAnsi="Calibri"/>
        </w:rPr>
        <w:t>Building Block #1: Leadership, goals, and assigned responsibilities</w:t>
      </w:r>
    </w:p>
    <w:p w14:paraId="68EB9A06" w14:textId="77777777" w:rsidR="00064E89" w:rsidRPr="00064E89" w:rsidRDefault="00064E89" w:rsidP="00064E89">
      <w:pPr>
        <w:rPr>
          <w:rFonts w:ascii="Calibri" w:eastAsia="Calibri" w:hAnsi="Calibri" w:cs="Times New Roman"/>
        </w:rPr>
      </w:pPr>
      <w:r w:rsidRPr="00064E89">
        <w:rPr>
          <w:rFonts w:ascii="Calibri" w:eastAsia="Calibri" w:hAnsi="Calibri" w:cs="Times New Roman"/>
        </w:rPr>
        <w:t>The organization’s leadership sets the goals for treatment of pain, both acute and chronic, and the safe use of opioids where appropriate.  The goals are measurable and progress towards the goals is reviewed by leadership at least quarterly.  Individuals are assigned with the responsibility of working on these goals and tracking progress and resources committed.  To achieve buy in, leadership engages all providers and clinical teams in understanding the importance of the goals and the plans for meeting them.  The organization collaborates with other health care organizations and agencies in the local community to ensure good communication between all parties participating in the health and safety of patients and families in the community.</w:t>
      </w:r>
    </w:p>
    <w:p w14:paraId="3180BEE8" w14:textId="77777777" w:rsidR="00064E89" w:rsidRPr="00064E89" w:rsidRDefault="00064E89" w:rsidP="00064E89">
      <w:pPr>
        <w:pStyle w:val="Heading3"/>
        <w:rPr>
          <w:rFonts w:ascii="Calibri" w:hAnsi="Calibri"/>
        </w:rPr>
      </w:pPr>
      <w:r w:rsidRPr="00064E89">
        <w:rPr>
          <w:rFonts w:ascii="Calibri" w:hAnsi="Calibri"/>
        </w:rPr>
        <w:t>Building Block #2: Produce policies, workflows, treatment agreements, patient education materials</w:t>
      </w:r>
    </w:p>
    <w:p w14:paraId="3328A53F" w14:textId="77777777" w:rsidR="00064E89" w:rsidRPr="00064E89" w:rsidRDefault="00064E89" w:rsidP="00064E89">
      <w:pPr>
        <w:rPr>
          <w:rFonts w:ascii="Calibri" w:hAnsi="Calibri"/>
        </w:rPr>
      </w:pPr>
      <w:r w:rsidRPr="00064E89">
        <w:rPr>
          <w:rFonts w:ascii="Calibri" w:hAnsi="Calibri"/>
        </w:rPr>
        <w:t xml:space="preserve">The organization’s goals need to be supported by corresponding policies </w:t>
      </w:r>
      <w:r w:rsidRPr="00064E89">
        <w:rPr>
          <w:rFonts w:ascii="Calibri" w:hAnsi="Calibri"/>
          <w:i/>
        </w:rPr>
        <w:t>(“What”)</w:t>
      </w:r>
      <w:r w:rsidRPr="00064E89">
        <w:rPr>
          <w:rFonts w:ascii="Calibri" w:hAnsi="Calibri"/>
        </w:rPr>
        <w:t xml:space="preserve"> and associated workflows </w:t>
      </w:r>
      <w:r w:rsidRPr="00064E89">
        <w:rPr>
          <w:rFonts w:ascii="Calibri" w:hAnsi="Calibri"/>
          <w:i/>
        </w:rPr>
        <w:t>(“How”).</w:t>
      </w:r>
      <w:r w:rsidRPr="00064E89">
        <w:rPr>
          <w:rFonts w:ascii="Calibri" w:hAnsi="Calibri"/>
        </w:rPr>
        <w:t xml:space="preserve">  Patient education is an essential component that explains how these clinic policies ensure patient safety and promote improved quality of life.  The treatment agreement is a key part of patient education.</w:t>
      </w:r>
    </w:p>
    <w:p w14:paraId="395828FF" w14:textId="77777777" w:rsidR="00064E89" w:rsidRPr="00064E89" w:rsidRDefault="00064E89" w:rsidP="00064E89">
      <w:pPr>
        <w:pStyle w:val="Heading3"/>
        <w:rPr>
          <w:rFonts w:ascii="Calibri" w:hAnsi="Calibri"/>
        </w:rPr>
      </w:pPr>
      <w:r w:rsidRPr="00064E89">
        <w:rPr>
          <w:rFonts w:ascii="Calibri" w:hAnsi="Calibri"/>
        </w:rPr>
        <w:t>Building Block #3: Identify the patient population and develop ways to track progress</w:t>
      </w:r>
    </w:p>
    <w:p w14:paraId="06298094" w14:textId="77777777" w:rsidR="00064E89" w:rsidRPr="00064E89" w:rsidRDefault="00064E89" w:rsidP="00064E89">
      <w:pPr>
        <w:rPr>
          <w:rFonts w:ascii="Calibri" w:hAnsi="Calibri"/>
        </w:rPr>
      </w:pPr>
      <w:r w:rsidRPr="00064E89">
        <w:rPr>
          <w:rFonts w:ascii="Calibri" w:hAnsi="Calibri"/>
        </w:rPr>
        <w:t xml:space="preserve">The patient population includes all patients receiving opioids.  As the goals include pain management, both acute and chronic, organizations will consider whether to include, for example, chronic pain patients who may not be receiving opioids, but who would benefit by being included in the process improvement </w:t>
      </w:r>
      <w:r w:rsidRPr="00064E89">
        <w:rPr>
          <w:rFonts w:ascii="Calibri" w:hAnsi="Calibri"/>
        </w:rPr>
        <w:lastRenderedPageBreak/>
        <w:t>initiative.  It may be helpful to identify high risk, complex patients within this population for more urgent action and more frequent monitoring.  Each organization will determine the most efficient way to monitor this population given the tools and staff skills available.</w:t>
      </w:r>
    </w:p>
    <w:p w14:paraId="01365B40" w14:textId="77777777" w:rsidR="00064E89" w:rsidRPr="00064E89" w:rsidRDefault="00064E89" w:rsidP="00064E89">
      <w:pPr>
        <w:pStyle w:val="Heading3"/>
        <w:rPr>
          <w:rFonts w:ascii="Calibri" w:hAnsi="Calibri"/>
        </w:rPr>
      </w:pPr>
      <w:r w:rsidRPr="00064E89">
        <w:rPr>
          <w:rFonts w:ascii="Calibri" w:hAnsi="Calibri"/>
        </w:rPr>
        <w:t>Building Block #4: Planned, patient-centered visits</w:t>
      </w:r>
    </w:p>
    <w:p w14:paraId="1D57638B" w14:textId="77777777" w:rsidR="00064E89" w:rsidRPr="00064E89" w:rsidRDefault="00064E89" w:rsidP="00064E89">
      <w:pPr>
        <w:rPr>
          <w:rFonts w:ascii="Calibri" w:hAnsi="Calibri"/>
        </w:rPr>
      </w:pPr>
      <w:r w:rsidRPr="00064E89">
        <w:rPr>
          <w:rFonts w:ascii="Calibri" w:hAnsi="Calibri"/>
        </w:rPr>
        <w:t>Through planned visits, conduct pro-active population management before, during, and between clinic visits of all patients on chronic opioid therapy to ensure that care is safe and appropriate. Support patient-centered, empathic communication for patient care.</w:t>
      </w:r>
    </w:p>
    <w:p w14:paraId="3C92954D" w14:textId="77777777" w:rsidR="00064E89" w:rsidRPr="00064E89" w:rsidRDefault="00064E89" w:rsidP="00064E89">
      <w:pPr>
        <w:pStyle w:val="Heading3"/>
        <w:rPr>
          <w:rFonts w:ascii="Calibri" w:hAnsi="Calibri"/>
        </w:rPr>
      </w:pPr>
      <w:r w:rsidRPr="00064E89">
        <w:rPr>
          <w:rFonts w:ascii="Calibri" w:hAnsi="Calibri"/>
        </w:rPr>
        <w:t>Building Block #5: Caring for complex patients</w:t>
      </w:r>
    </w:p>
    <w:p w14:paraId="5E768D17" w14:textId="77777777" w:rsidR="00064E89" w:rsidRPr="00064E89" w:rsidRDefault="00064E89" w:rsidP="00064E89">
      <w:pPr>
        <w:rPr>
          <w:rFonts w:ascii="Calibri" w:hAnsi="Calibri"/>
        </w:rPr>
      </w:pPr>
      <w:r w:rsidRPr="00064E89">
        <w:rPr>
          <w:rFonts w:ascii="Calibri" w:hAnsi="Calibri"/>
        </w:rPr>
        <w:t xml:space="preserve">Develop policies, screening tools, and resources to identify patients who are high risk, complex pain patients.  This includes determining opioid dependence, addiction, substance use disorder.  These patients often require diagnosis expertise and treatment options that cannot be provided with the clinics in-house resources and need to be referred to specialists.  When this is indicated, the </w:t>
      </w:r>
      <w:proofErr w:type="gramStart"/>
      <w:r w:rsidRPr="00064E89">
        <w:rPr>
          <w:rFonts w:ascii="Calibri" w:hAnsi="Calibri"/>
        </w:rPr>
        <w:t>clinic has coordinated with the resources and specialists in the community and have</w:t>
      </w:r>
      <w:proofErr w:type="gramEnd"/>
      <w:r w:rsidRPr="00064E89">
        <w:rPr>
          <w:rFonts w:ascii="Calibri" w:hAnsi="Calibri"/>
        </w:rPr>
        <w:t xml:space="preserve"> referral agreements in place.</w:t>
      </w:r>
    </w:p>
    <w:p w14:paraId="050F92E9" w14:textId="77777777" w:rsidR="00064E89" w:rsidRPr="00064E89" w:rsidRDefault="00064E89" w:rsidP="00064E89">
      <w:pPr>
        <w:pStyle w:val="Heading3"/>
        <w:rPr>
          <w:rFonts w:ascii="Calibri" w:hAnsi="Calibri"/>
        </w:rPr>
      </w:pPr>
      <w:r w:rsidRPr="00064E89">
        <w:rPr>
          <w:rFonts w:ascii="Calibri" w:hAnsi="Calibri"/>
        </w:rPr>
        <w:t>Building Block #6: Measuring success</w:t>
      </w:r>
    </w:p>
    <w:p w14:paraId="4183A92B" w14:textId="77777777" w:rsidR="00064E89" w:rsidRPr="00064E89" w:rsidRDefault="00064E89" w:rsidP="00064E89">
      <w:pPr>
        <w:rPr>
          <w:rFonts w:ascii="Calibri" w:hAnsi="Calibri"/>
        </w:rPr>
      </w:pPr>
      <w:r w:rsidRPr="00064E89">
        <w:rPr>
          <w:rFonts w:ascii="Calibri" w:hAnsi="Calibri"/>
        </w:rPr>
        <w:t xml:space="preserve">The goals and clinical measures defined in building block #1 are monitored and reported on monthly or quarterly by the individual responsible in regularly scheduled (monthly/quarterly) meetings with the leadership and other providers.  The leadership shares and discusses results with the clinical team and encourages suggestions for improvement. Leadership decides if any changes or </w:t>
      </w:r>
      <w:proofErr w:type="gramStart"/>
      <w:r w:rsidRPr="00064E89">
        <w:rPr>
          <w:rFonts w:ascii="Calibri" w:hAnsi="Calibri"/>
        </w:rPr>
        <w:t>adjustments to the process improvement project is</w:t>
      </w:r>
      <w:proofErr w:type="gramEnd"/>
      <w:r w:rsidRPr="00064E89">
        <w:rPr>
          <w:rFonts w:ascii="Calibri" w:hAnsi="Calibri"/>
        </w:rPr>
        <w:t xml:space="preserve"> needed.  Changes are implemented as a high priority for the clinic/organization.</w:t>
      </w:r>
    </w:p>
    <w:p w14:paraId="72FDBD1F" w14:textId="77777777" w:rsidR="00064E89" w:rsidRPr="00064E89" w:rsidRDefault="00064E89" w:rsidP="00064E89">
      <w:pPr>
        <w:pStyle w:val="ccc"/>
        <w:rPr>
          <w:rFonts w:ascii="Calibri" w:hAnsi="Calibri"/>
        </w:rPr>
      </w:pPr>
      <w:r w:rsidRPr="00064E89">
        <w:rPr>
          <w:rFonts w:ascii="Calibri" w:hAnsi="Calibri"/>
        </w:rPr>
        <w:t xml:space="preserve">Instructions for using the Six Building Blocks and completing the Self-Assessment Questionnaire </w:t>
      </w:r>
    </w:p>
    <w:p w14:paraId="0B4D3AB0" w14:textId="77777777" w:rsidR="00064E89" w:rsidRPr="00064E89" w:rsidRDefault="00064E89" w:rsidP="00064E89">
      <w:pPr>
        <w:spacing w:after="120"/>
        <w:rPr>
          <w:rFonts w:ascii="Calibri" w:hAnsi="Calibri"/>
        </w:rPr>
      </w:pPr>
      <w:r w:rsidRPr="00064E89">
        <w:rPr>
          <w:rFonts w:ascii="Calibri" w:hAnsi="Calibri"/>
        </w:rPr>
        <w:t xml:space="preserve">The Six Building Blocks provides a framework for improving the treatment of patients with pain, including the use of opioids.  As a starting point, we recommend that organizations do a self-assessment to evaluate their current policies and practice using a level 1 to 4 self-assessment </w:t>
      </w:r>
      <w:proofErr w:type="gramStart"/>
      <w:r w:rsidRPr="00064E89">
        <w:rPr>
          <w:rFonts w:ascii="Calibri" w:hAnsi="Calibri"/>
        </w:rPr>
        <w:t>system</w:t>
      </w:r>
      <w:proofErr w:type="gramEnd"/>
      <w:r w:rsidRPr="00064E89">
        <w:rPr>
          <w:rFonts w:ascii="Calibri" w:hAnsi="Calibri"/>
        </w:rPr>
        <w:t xml:space="preserve">.  We highly recommend that this initial self-assessment is done in conjunction with a consultant or practice coach with expertise in the six building blocks who has worked with other organizations.  This initial self-assessment accomplishes two things.  First, it clearly identifies strengths, weaknesses and gaps in how pain is treated and how safely and effectively opioids are used as compared to the </w:t>
      </w:r>
      <w:hyperlink r:id="rId13" w:history="1">
        <w:r w:rsidRPr="00064E89">
          <w:rPr>
            <w:rStyle w:val="Hyperlink"/>
            <w:rFonts w:ascii="Calibri" w:hAnsi="Calibri"/>
          </w:rPr>
          <w:t>CDC Guideline for Prescribing Opioids for Chronic Pain</w:t>
        </w:r>
      </w:hyperlink>
      <w:r w:rsidRPr="00064E89">
        <w:rPr>
          <w:rFonts w:ascii="Calibri" w:hAnsi="Calibri"/>
        </w:rPr>
        <w:t xml:space="preserve">.  Second, it helps the organization decide on overall goals, and identify and prioritize specific practice changes they want to make.  </w:t>
      </w:r>
    </w:p>
    <w:p w14:paraId="2CD11F1F" w14:textId="77777777" w:rsidR="00064E89" w:rsidRPr="00064E89" w:rsidRDefault="00064E89" w:rsidP="00064E89">
      <w:pPr>
        <w:rPr>
          <w:rFonts w:ascii="Calibri" w:hAnsi="Calibri"/>
        </w:rPr>
      </w:pPr>
      <w:r w:rsidRPr="00064E89">
        <w:rPr>
          <w:rFonts w:ascii="Calibri" w:hAnsi="Calibri"/>
        </w:rPr>
        <w:t>A common reaction to the self-assessment is that the magnitude of possible areas to address is overwhelming.  However, we do not recommend that organizations take on more than they have resources or capacity to undertake.  We suggest you select some high payoff areas, especially where patient safety is at risk. It is important that your clinical teams are part of the decision making process and the goals are strongly supported by everyone on the team.  One component though is essential, that you have a robust system to first identify the patients and providers involved, and to track progress regularly where both leadership and the clinical teams review results and make continuously improvements.</w:t>
      </w:r>
    </w:p>
    <w:p w14:paraId="6DA3B00A" w14:textId="77777777" w:rsidR="00064E89" w:rsidRPr="00064E89" w:rsidRDefault="00064E89" w:rsidP="00064E89">
      <w:pPr>
        <w:rPr>
          <w:rFonts w:ascii="Calibri" w:hAnsi="Calibri"/>
        </w:rPr>
      </w:pPr>
    </w:p>
    <w:p w14:paraId="3BA57049" w14:textId="77777777" w:rsidR="00064E89" w:rsidRPr="00064E89" w:rsidRDefault="00064E89" w:rsidP="00064E89">
      <w:pPr>
        <w:pStyle w:val="Heading2"/>
        <w:spacing w:before="0"/>
        <w:rPr>
          <w:rFonts w:ascii="Calibri" w:hAnsi="Calibri"/>
        </w:rPr>
      </w:pPr>
      <w:r w:rsidRPr="00064E89">
        <w:rPr>
          <w:rFonts w:ascii="Calibri" w:hAnsi="Calibri"/>
        </w:rPr>
        <w:lastRenderedPageBreak/>
        <w:t>Six Building Block Authors and Contributors</w:t>
      </w:r>
    </w:p>
    <w:p w14:paraId="54D175B6" w14:textId="77777777" w:rsidR="00064E89" w:rsidRPr="00064E89" w:rsidRDefault="00064E89" w:rsidP="00064E89">
      <w:pPr>
        <w:rPr>
          <w:rFonts w:ascii="Calibri" w:hAnsi="Calibri"/>
          <w:u w:val="single"/>
        </w:rPr>
      </w:pPr>
      <w:r w:rsidRPr="00064E89">
        <w:rPr>
          <w:rFonts w:ascii="Calibri" w:hAnsi="Calibri"/>
          <w:u w:val="single"/>
        </w:rPr>
        <w:t>Initial version for research project on Team Based Opioid Management</w:t>
      </w:r>
    </w:p>
    <w:p w14:paraId="029DB51E" w14:textId="77777777" w:rsidR="00064E89" w:rsidRPr="00064E89" w:rsidRDefault="00064E89" w:rsidP="00064E89">
      <w:pPr>
        <w:rPr>
          <w:rFonts w:ascii="Calibri" w:hAnsi="Calibri"/>
        </w:rPr>
      </w:pPr>
      <w:r w:rsidRPr="00064E89">
        <w:rPr>
          <w:rFonts w:ascii="Calibri" w:hAnsi="Calibri"/>
        </w:rPr>
        <w:t xml:space="preserve">Michael </w:t>
      </w:r>
      <w:proofErr w:type="spellStart"/>
      <w:r w:rsidRPr="00064E89">
        <w:rPr>
          <w:rFonts w:ascii="Calibri" w:hAnsi="Calibri"/>
        </w:rPr>
        <w:t>Parchman</w:t>
      </w:r>
      <w:proofErr w:type="spellEnd"/>
      <w:r w:rsidRPr="00064E89">
        <w:rPr>
          <w:rFonts w:ascii="Calibri" w:hAnsi="Calibri"/>
        </w:rPr>
        <w:t xml:space="preserve">, Michael Von </w:t>
      </w:r>
      <w:proofErr w:type="spellStart"/>
      <w:r w:rsidRPr="00064E89">
        <w:rPr>
          <w:rFonts w:ascii="Calibri" w:hAnsi="Calibri"/>
        </w:rPr>
        <w:t>Korff</w:t>
      </w:r>
      <w:proofErr w:type="spellEnd"/>
      <w:r w:rsidRPr="00064E89">
        <w:rPr>
          <w:rFonts w:ascii="Calibri" w:hAnsi="Calibri"/>
        </w:rPr>
        <w:t xml:space="preserve">, Mark Stephens, David </w:t>
      </w:r>
      <w:proofErr w:type="spellStart"/>
      <w:r w:rsidRPr="00064E89">
        <w:rPr>
          <w:rFonts w:ascii="Calibri" w:hAnsi="Calibri"/>
        </w:rPr>
        <w:t>Tauben</w:t>
      </w:r>
      <w:proofErr w:type="spellEnd"/>
      <w:r w:rsidRPr="00064E89">
        <w:rPr>
          <w:rFonts w:ascii="Calibri" w:hAnsi="Calibri"/>
        </w:rPr>
        <w:t>, Laura-Mae Baldwin, Brooke Ike</w:t>
      </w:r>
    </w:p>
    <w:p w14:paraId="7739E5E2" w14:textId="77777777" w:rsidR="00064E89" w:rsidRPr="00064E89" w:rsidRDefault="00064E89" w:rsidP="00064E89">
      <w:pPr>
        <w:spacing w:before="120"/>
        <w:rPr>
          <w:rFonts w:ascii="Calibri" w:hAnsi="Calibri"/>
          <w:u w:val="single"/>
        </w:rPr>
      </w:pPr>
      <w:r w:rsidRPr="00064E89">
        <w:rPr>
          <w:rFonts w:ascii="Calibri" w:hAnsi="Calibri"/>
          <w:u w:val="single"/>
        </w:rPr>
        <w:t>Revised and expanded version for Oregon State Prescription Drug Overdose project</w:t>
      </w:r>
    </w:p>
    <w:p w14:paraId="033512D5" w14:textId="77777777" w:rsidR="00064E89" w:rsidRPr="00064E89" w:rsidRDefault="00064E89" w:rsidP="00064E89">
      <w:pPr>
        <w:rPr>
          <w:rFonts w:ascii="Calibri" w:hAnsi="Calibri"/>
        </w:rPr>
      </w:pPr>
      <w:r w:rsidRPr="00064E89">
        <w:rPr>
          <w:rFonts w:ascii="Calibri" w:hAnsi="Calibri"/>
        </w:rPr>
        <w:t xml:space="preserve">Above authors and Laura </w:t>
      </w:r>
      <w:proofErr w:type="spellStart"/>
      <w:r w:rsidRPr="00064E89">
        <w:rPr>
          <w:rFonts w:ascii="Calibri" w:hAnsi="Calibri"/>
        </w:rPr>
        <w:t>Heesacker</w:t>
      </w:r>
      <w:proofErr w:type="spellEnd"/>
      <w:r w:rsidRPr="00064E89">
        <w:rPr>
          <w:rFonts w:ascii="Calibri" w:hAnsi="Calibri"/>
        </w:rPr>
        <w:t xml:space="preserve">, David </w:t>
      </w:r>
      <w:proofErr w:type="spellStart"/>
      <w:r w:rsidRPr="00064E89">
        <w:rPr>
          <w:rFonts w:ascii="Calibri" w:hAnsi="Calibri"/>
        </w:rPr>
        <w:t>Labby</w:t>
      </w:r>
      <w:proofErr w:type="spellEnd"/>
      <w:r w:rsidRPr="00064E89">
        <w:rPr>
          <w:rFonts w:ascii="Calibri" w:hAnsi="Calibri"/>
        </w:rPr>
        <w:t xml:space="preserve">, Roger Chou, Lisa Shields, Mark Sullivan, Jim Shames, Paul Coelho, </w:t>
      </w:r>
      <w:proofErr w:type="spellStart"/>
      <w:r w:rsidRPr="00064E89">
        <w:rPr>
          <w:rFonts w:ascii="Calibri" w:hAnsi="Calibri"/>
        </w:rPr>
        <w:t>Safina</w:t>
      </w:r>
      <w:proofErr w:type="spellEnd"/>
      <w:r w:rsidRPr="00064E89">
        <w:rPr>
          <w:rFonts w:ascii="Calibri" w:hAnsi="Calibri"/>
        </w:rPr>
        <w:t xml:space="preserve"> </w:t>
      </w:r>
      <w:proofErr w:type="spellStart"/>
      <w:r w:rsidRPr="00064E89">
        <w:rPr>
          <w:rFonts w:ascii="Calibri" w:hAnsi="Calibri"/>
        </w:rPr>
        <w:t>Koreishi</w:t>
      </w:r>
      <w:proofErr w:type="spellEnd"/>
    </w:p>
    <w:p w14:paraId="26202602" w14:textId="77777777" w:rsidR="00064E89" w:rsidRPr="00064E89" w:rsidRDefault="00064E89" w:rsidP="00064E89">
      <w:pPr>
        <w:rPr>
          <w:rFonts w:ascii="Calibri" w:hAnsi="Calibri"/>
        </w:rPr>
      </w:pPr>
      <w:r w:rsidRPr="00064E89">
        <w:rPr>
          <w:rFonts w:ascii="Calibri" w:hAnsi="Calibri"/>
        </w:rPr>
        <w:br w:type="page"/>
      </w:r>
    </w:p>
    <w:p w14:paraId="3A5EF026" w14:textId="18E6E0C6" w:rsidR="005716A7" w:rsidRPr="00064E89" w:rsidRDefault="005716A7" w:rsidP="00FE2B39">
      <w:pPr>
        <w:pStyle w:val="H3"/>
        <w:spacing w:after="0"/>
        <w:rPr>
          <w:rFonts w:ascii="Calibri" w:hAnsi="Calibri"/>
          <w:sz w:val="28"/>
          <w:szCs w:val="28"/>
        </w:rPr>
      </w:pPr>
      <w:r w:rsidRPr="00064E89">
        <w:rPr>
          <w:rFonts w:ascii="Calibri" w:hAnsi="Calibri"/>
          <w:sz w:val="28"/>
          <w:szCs w:val="28"/>
        </w:rPr>
        <w:lastRenderedPageBreak/>
        <w:t>Building Block #1: Leadership</w:t>
      </w:r>
    </w:p>
    <w:tbl>
      <w:tblPr>
        <w:tblStyle w:val="TableGrid"/>
        <w:tblW w:w="0" w:type="auto"/>
        <w:tblLook w:val="04A0" w:firstRow="1" w:lastRow="0" w:firstColumn="1" w:lastColumn="0" w:noHBand="0" w:noVBand="1"/>
      </w:tblPr>
      <w:tblGrid>
        <w:gridCol w:w="2635"/>
        <w:gridCol w:w="2635"/>
        <w:gridCol w:w="2635"/>
        <w:gridCol w:w="2635"/>
        <w:gridCol w:w="2636"/>
      </w:tblGrid>
      <w:tr w:rsidR="00A93F42" w:rsidRPr="00064E89" w14:paraId="3FF89155" w14:textId="77777777" w:rsidTr="00A93F42">
        <w:tc>
          <w:tcPr>
            <w:tcW w:w="2635" w:type="dxa"/>
          </w:tcPr>
          <w:p w14:paraId="2B58B079" w14:textId="46731D94" w:rsidR="00A93F42" w:rsidRPr="00064E89" w:rsidRDefault="00A93F42" w:rsidP="00BD44EF">
            <w:pPr>
              <w:keepNext/>
              <w:rPr>
                <w:rFonts w:ascii="Calibri" w:hAnsi="Calibri"/>
                <w:sz w:val="20"/>
                <w:szCs w:val="20"/>
              </w:rPr>
            </w:pPr>
            <w:r w:rsidRPr="00064E89">
              <w:rPr>
                <w:rFonts w:ascii="Calibri" w:hAnsi="Calibri"/>
                <w:sz w:val="20"/>
                <w:szCs w:val="20"/>
              </w:rPr>
              <w:t>Goals</w:t>
            </w:r>
          </w:p>
        </w:tc>
        <w:tc>
          <w:tcPr>
            <w:tcW w:w="2635" w:type="dxa"/>
          </w:tcPr>
          <w:p w14:paraId="0476CAE8" w14:textId="49428DFB" w:rsidR="00A93F42" w:rsidRPr="00064E89" w:rsidRDefault="00A93F42" w:rsidP="00BD44EF">
            <w:pPr>
              <w:keepNext/>
              <w:rPr>
                <w:rFonts w:ascii="Calibri" w:hAnsi="Calibri"/>
                <w:sz w:val="20"/>
                <w:szCs w:val="20"/>
              </w:rPr>
            </w:pPr>
          </w:p>
        </w:tc>
        <w:tc>
          <w:tcPr>
            <w:tcW w:w="2635" w:type="dxa"/>
          </w:tcPr>
          <w:p w14:paraId="5C52DB8E" w14:textId="194DC082" w:rsidR="00A93F42" w:rsidRPr="00064E89" w:rsidRDefault="00A93F42" w:rsidP="00BD44EF">
            <w:pPr>
              <w:keepNext/>
              <w:rPr>
                <w:rFonts w:ascii="Calibri" w:hAnsi="Calibri"/>
                <w:sz w:val="20"/>
                <w:szCs w:val="20"/>
              </w:rPr>
            </w:pPr>
          </w:p>
        </w:tc>
        <w:tc>
          <w:tcPr>
            <w:tcW w:w="2635" w:type="dxa"/>
          </w:tcPr>
          <w:p w14:paraId="71BDB60B" w14:textId="56DF0B66" w:rsidR="00A93F42" w:rsidRPr="00064E89" w:rsidRDefault="00A93F42" w:rsidP="00BD44EF">
            <w:pPr>
              <w:keepNext/>
              <w:rPr>
                <w:rFonts w:ascii="Calibri" w:hAnsi="Calibri"/>
                <w:sz w:val="20"/>
                <w:szCs w:val="20"/>
              </w:rPr>
            </w:pPr>
          </w:p>
        </w:tc>
        <w:tc>
          <w:tcPr>
            <w:tcW w:w="2636" w:type="dxa"/>
          </w:tcPr>
          <w:p w14:paraId="15FDAD93" w14:textId="45C52F88" w:rsidR="00A93F42" w:rsidRPr="00064E89" w:rsidRDefault="00A93F42" w:rsidP="00BD44EF">
            <w:pPr>
              <w:keepNext/>
              <w:rPr>
                <w:rFonts w:ascii="Calibri" w:hAnsi="Calibri"/>
                <w:sz w:val="20"/>
                <w:szCs w:val="20"/>
              </w:rPr>
            </w:pPr>
          </w:p>
        </w:tc>
      </w:tr>
      <w:tr w:rsidR="00A93F42" w:rsidRPr="00064E89" w14:paraId="2A63C3F8" w14:textId="77777777" w:rsidTr="00A93F42">
        <w:tc>
          <w:tcPr>
            <w:tcW w:w="2635" w:type="dxa"/>
          </w:tcPr>
          <w:p w14:paraId="3DEC34CF" w14:textId="38BD4854" w:rsidR="00A93F42" w:rsidRPr="00064E89" w:rsidRDefault="00A93F42" w:rsidP="00A93F42">
            <w:pPr>
              <w:rPr>
                <w:rFonts w:ascii="Calibri" w:hAnsi="Calibri"/>
                <w:sz w:val="20"/>
                <w:szCs w:val="20"/>
              </w:rPr>
            </w:pPr>
          </w:p>
        </w:tc>
        <w:tc>
          <w:tcPr>
            <w:tcW w:w="2635" w:type="dxa"/>
          </w:tcPr>
          <w:p w14:paraId="29B2B541" w14:textId="508C82C6" w:rsidR="00A93F42" w:rsidRPr="00064E89" w:rsidRDefault="00A93F42" w:rsidP="00E83FEB">
            <w:pPr>
              <w:rPr>
                <w:rFonts w:ascii="Calibri" w:hAnsi="Calibri"/>
                <w:sz w:val="20"/>
                <w:szCs w:val="20"/>
              </w:rPr>
            </w:pPr>
            <w:r w:rsidRPr="00064E89">
              <w:rPr>
                <w:rFonts w:ascii="Calibri" w:hAnsi="Calibri"/>
                <w:sz w:val="20"/>
                <w:szCs w:val="20"/>
              </w:rPr>
              <w:t>Leadership has not evaluated current practices and policies for (1) pharmacological and non-pharmacological</w:t>
            </w:r>
            <w:r w:rsidR="00925983">
              <w:rPr>
                <w:rFonts w:ascii="Calibri" w:hAnsi="Calibri"/>
                <w:sz w:val="20"/>
                <w:szCs w:val="20"/>
              </w:rPr>
              <w:t xml:space="preserve"> treatment of </w:t>
            </w:r>
            <w:r w:rsidRPr="00064E89">
              <w:rPr>
                <w:rFonts w:ascii="Calibri" w:hAnsi="Calibri"/>
                <w:sz w:val="20"/>
                <w:szCs w:val="20"/>
              </w:rPr>
              <w:t xml:space="preserve">acute and chronic pain, (2) safe use of opioids, and (3) consistency among prescribers. </w:t>
            </w:r>
          </w:p>
        </w:tc>
        <w:tc>
          <w:tcPr>
            <w:tcW w:w="2635" w:type="dxa"/>
          </w:tcPr>
          <w:p w14:paraId="47E0401A" w14:textId="3981D1FA" w:rsidR="00A93F42" w:rsidRPr="00064E89" w:rsidRDefault="00A93F42" w:rsidP="00E83FEB">
            <w:pPr>
              <w:rPr>
                <w:rFonts w:ascii="Calibri" w:hAnsi="Calibri"/>
                <w:sz w:val="20"/>
                <w:szCs w:val="20"/>
              </w:rPr>
            </w:pPr>
            <w:r w:rsidRPr="00064E89">
              <w:rPr>
                <w:rFonts w:ascii="Calibri" w:hAnsi="Calibri"/>
                <w:sz w:val="20"/>
                <w:szCs w:val="20"/>
              </w:rPr>
              <w:t xml:space="preserve">Leadership has evaluated current practices and policies pain management and safe use of opioids, but no goals have been developed. </w:t>
            </w:r>
          </w:p>
        </w:tc>
        <w:tc>
          <w:tcPr>
            <w:tcW w:w="2635" w:type="dxa"/>
          </w:tcPr>
          <w:p w14:paraId="0107F5D9" w14:textId="405703B8" w:rsidR="00A93F42" w:rsidRPr="00064E89" w:rsidRDefault="00A93F42" w:rsidP="00E83FEB">
            <w:pPr>
              <w:rPr>
                <w:rFonts w:ascii="Calibri" w:hAnsi="Calibri"/>
                <w:sz w:val="20"/>
                <w:szCs w:val="20"/>
              </w:rPr>
            </w:pPr>
            <w:proofErr w:type="gramStart"/>
            <w:r w:rsidRPr="00064E89">
              <w:rPr>
                <w:rFonts w:ascii="Calibri" w:hAnsi="Calibri"/>
                <w:sz w:val="20"/>
                <w:szCs w:val="20"/>
              </w:rPr>
              <w:t>All of the</w:t>
            </w:r>
            <w:proofErr w:type="gramEnd"/>
            <w:r w:rsidRPr="00064E89">
              <w:rPr>
                <w:rFonts w:ascii="Calibri" w:hAnsi="Calibri"/>
                <w:sz w:val="20"/>
                <w:szCs w:val="20"/>
              </w:rPr>
              <w:t xml:space="preserve"> above, plus: Leadership has drafted goals for (1) improving treatment of acute and chronic pain, (2) safe use of opioids and (3) improving consistency of practice. </w:t>
            </w:r>
          </w:p>
        </w:tc>
        <w:tc>
          <w:tcPr>
            <w:tcW w:w="2636" w:type="dxa"/>
          </w:tcPr>
          <w:p w14:paraId="296F357D" w14:textId="275A3805" w:rsidR="00A93F42" w:rsidRPr="00064E89" w:rsidRDefault="00A93F42" w:rsidP="00E83FEB">
            <w:pPr>
              <w:rPr>
                <w:rFonts w:ascii="Calibri" w:hAnsi="Calibri"/>
                <w:sz w:val="20"/>
                <w:szCs w:val="20"/>
              </w:rPr>
            </w:pPr>
            <w:proofErr w:type="gramStart"/>
            <w:r w:rsidRPr="00064E89">
              <w:rPr>
                <w:rFonts w:ascii="Calibri" w:hAnsi="Calibri"/>
                <w:sz w:val="20"/>
                <w:szCs w:val="20"/>
              </w:rPr>
              <w:t>All of the</w:t>
            </w:r>
            <w:proofErr w:type="gramEnd"/>
            <w:r w:rsidRPr="00064E89">
              <w:rPr>
                <w:rFonts w:ascii="Calibri" w:hAnsi="Calibri"/>
                <w:sz w:val="20"/>
                <w:szCs w:val="20"/>
              </w:rPr>
              <w:t xml:space="preserve"> above, plus: Staff members agree with the goals and are actively working to implement them. </w:t>
            </w:r>
          </w:p>
        </w:tc>
      </w:tr>
      <w:tr w:rsidR="00A93F42" w:rsidRPr="00064E89" w14:paraId="1817150D" w14:textId="77777777" w:rsidTr="00DF01C4">
        <w:tc>
          <w:tcPr>
            <w:tcW w:w="2635" w:type="dxa"/>
          </w:tcPr>
          <w:p w14:paraId="5061D1FA" w14:textId="77777777" w:rsidR="00A93F42" w:rsidRPr="00064E89" w:rsidRDefault="00A93F42" w:rsidP="00DF01C4">
            <w:pPr>
              <w:keepNext/>
              <w:rPr>
                <w:rFonts w:ascii="Calibri" w:hAnsi="Calibri"/>
                <w:sz w:val="20"/>
                <w:szCs w:val="20"/>
              </w:rPr>
            </w:pPr>
            <w:r w:rsidRPr="00064E89">
              <w:rPr>
                <w:rFonts w:ascii="Calibri" w:hAnsi="Calibri"/>
                <w:sz w:val="20"/>
                <w:szCs w:val="20"/>
              </w:rPr>
              <w:t>Policies to Support Goals</w:t>
            </w:r>
          </w:p>
        </w:tc>
        <w:tc>
          <w:tcPr>
            <w:tcW w:w="2635" w:type="dxa"/>
          </w:tcPr>
          <w:p w14:paraId="53C153F3" w14:textId="4B23D7E1" w:rsidR="00A93F42" w:rsidRPr="00064E89" w:rsidRDefault="00A93F42" w:rsidP="00DF01C4">
            <w:pPr>
              <w:keepNext/>
              <w:rPr>
                <w:rFonts w:ascii="Calibri" w:hAnsi="Calibri"/>
                <w:sz w:val="20"/>
                <w:szCs w:val="20"/>
              </w:rPr>
            </w:pPr>
          </w:p>
        </w:tc>
        <w:tc>
          <w:tcPr>
            <w:tcW w:w="2635" w:type="dxa"/>
          </w:tcPr>
          <w:p w14:paraId="3ABE77A1" w14:textId="391DB831" w:rsidR="00A93F42" w:rsidRPr="00064E89" w:rsidRDefault="00A93F42" w:rsidP="00DF01C4">
            <w:pPr>
              <w:keepNext/>
              <w:rPr>
                <w:rFonts w:ascii="Calibri" w:hAnsi="Calibri"/>
                <w:sz w:val="20"/>
                <w:szCs w:val="20"/>
              </w:rPr>
            </w:pPr>
          </w:p>
        </w:tc>
        <w:tc>
          <w:tcPr>
            <w:tcW w:w="2635" w:type="dxa"/>
          </w:tcPr>
          <w:p w14:paraId="380039F9" w14:textId="44300764" w:rsidR="00A93F42" w:rsidRPr="00064E89" w:rsidRDefault="00A93F42" w:rsidP="00DF01C4">
            <w:pPr>
              <w:keepNext/>
              <w:rPr>
                <w:rFonts w:ascii="Calibri" w:hAnsi="Calibri"/>
                <w:sz w:val="20"/>
                <w:szCs w:val="20"/>
              </w:rPr>
            </w:pPr>
          </w:p>
        </w:tc>
        <w:tc>
          <w:tcPr>
            <w:tcW w:w="2636" w:type="dxa"/>
          </w:tcPr>
          <w:p w14:paraId="7BBCE12A" w14:textId="01986E22" w:rsidR="00A93F42" w:rsidRPr="00064E89" w:rsidRDefault="00A93F42" w:rsidP="00DF01C4">
            <w:pPr>
              <w:keepNext/>
              <w:rPr>
                <w:rFonts w:ascii="Calibri" w:hAnsi="Calibri"/>
                <w:sz w:val="20"/>
                <w:szCs w:val="20"/>
              </w:rPr>
            </w:pPr>
          </w:p>
        </w:tc>
      </w:tr>
      <w:tr w:rsidR="00A93F42" w:rsidRPr="00064E89" w14:paraId="384518A0" w14:textId="77777777" w:rsidTr="00A93F42">
        <w:tc>
          <w:tcPr>
            <w:tcW w:w="2635" w:type="dxa"/>
          </w:tcPr>
          <w:p w14:paraId="488F52E3" w14:textId="71E025B8" w:rsidR="00A93F42" w:rsidRPr="00064E89" w:rsidRDefault="00A93F42" w:rsidP="00A93F42">
            <w:pPr>
              <w:rPr>
                <w:rFonts w:ascii="Calibri" w:hAnsi="Calibri"/>
                <w:sz w:val="20"/>
                <w:szCs w:val="20"/>
              </w:rPr>
            </w:pPr>
          </w:p>
        </w:tc>
        <w:tc>
          <w:tcPr>
            <w:tcW w:w="2635" w:type="dxa"/>
          </w:tcPr>
          <w:p w14:paraId="3D6BAD06" w14:textId="3F13F7FC" w:rsidR="00A93F42" w:rsidRPr="00064E89" w:rsidRDefault="00A93F42" w:rsidP="00A93F42">
            <w:pPr>
              <w:rPr>
                <w:rFonts w:ascii="Calibri" w:hAnsi="Calibri"/>
                <w:sz w:val="20"/>
                <w:szCs w:val="20"/>
              </w:rPr>
            </w:pPr>
            <w:r w:rsidRPr="00064E89">
              <w:rPr>
                <w:rFonts w:ascii="Calibri" w:hAnsi="Calibri"/>
                <w:sz w:val="20"/>
                <w:szCs w:val="20"/>
              </w:rPr>
              <w:t xml:space="preserve">Pain management and prescribing goals do not exist OR Goals do exist but policies to support them have not been identified. </w:t>
            </w:r>
          </w:p>
        </w:tc>
        <w:tc>
          <w:tcPr>
            <w:tcW w:w="2635" w:type="dxa"/>
          </w:tcPr>
          <w:p w14:paraId="66D9A1DC" w14:textId="5A40548C" w:rsidR="00A93F42" w:rsidRPr="00064E89" w:rsidRDefault="00A93F42" w:rsidP="00A93F42">
            <w:pPr>
              <w:rPr>
                <w:rFonts w:ascii="Calibri" w:hAnsi="Calibri"/>
                <w:sz w:val="20"/>
                <w:szCs w:val="20"/>
              </w:rPr>
            </w:pPr>
            <w:r w:rsidRPr="00064E89">
              <w:rPr>
                <w:rFonts w:ascii="Calibri" w:hAnsi="Calibri"/>
                <w:sz w:val="20"/>
                <w:szCs w:val="20"/>
              </w:rPr>
              <w:t xml:space="preserve">Leadership has reviewed the recommended policies in Building Block #2, compared them to existing clinic policies, and identified where more specific policies are needed. </w:t>
            </w:r>
          </w:p>
        </w:tc>
        <w:tc>
          <w:tcPr>
            <w:tcW w:w="2635" w:type="dxa"/>
          </w:tcPr>
          <w:p w14:paraId="4623573A" w14:textId="40975DA8" w:rsidR="00A93F42" w:rsidRPr="00064E89" w:rsidRDefault="00A93F42" w:rsidP="00A93F42">
            <w:pPr>
              <w:rPr>
                <w:rFonts w:ascii="Calibri" w:hAnsi="Calibri"/>
                <w:sz w:val="20"/>
                <w:szCs w:val="20"/>
              </w:rPr>
            </w:pPr>
            <w:r w:rsidRPr="00064E89">
              <w:rPr>
                <w:rFonts w:ascii="Calibri" w:hAnsi="Calibri"/>
                <w:sz w:val="20"/>
                <w:szCs w:val="20"/>
              </w:rPr>
              <w:t xml:space="preserve">Clinic/agency policies are in place for: (1) treating acute and chronic pain, (2) providing non-opioid or non-pharmaceutical therapies, (3) treating complex, high risk patients and (4) educating and engaging patients in their own care. </w:t>
            </w:r>
          </w:p>
        </w:tc>
        <w:tc>
          <w:tcPr>
            <w:tcW w:w="2636" w:type="dxa"/>
          </w:tcPr>
          <w:p w14:paraId="54D631E6" w14:textId="694F3D69" w:rsidR="00A93F42" w:rsidRPr="00064E89" w:rsidRDefault="00A93F42" w:rsidP="00A93F42">
            <w:pPr>
              <w:rPr>
                <w:rFonts w:ascii="Calibri" w:hAnsi="Calibri"/>
                <w:sz w:val="20"/>
                <w:szCs w:val="20"/>
              </w:rPr>
            </w:pPr>
            <w:proofErr w:type="gramStart"/>
            <w:r w:rsidRPr="00064E89">
              <w:rPr>
                <w:rFonts w:ascii="Calibri" w:hAnsi="Calibri"/>
                <w:sz w:val="20"/>
                <w:szCs w:val="20"/>
              </w:rPr>
              <w:t>All of the</w:t>
            </w:r>
            <w:proofErr w:type="gramEnd"/>
            <w:r w:rsidRPr="00064E89">
              <w:rPr>
                <w:rFonts w:ascii="Calibri" w:hAnsi="Calibri"/>
                <w:sz w:val="20"/>
                <w:szCs w:val="20"/>
              </w:rPr>
              <w:t xml:space="preserve"> above, plus: The policies are fully understood by all providers and staff and are the new standard of care. </w:t>
            </w:r>
          </w:p>
        </w:tc>
      </w:tr>
    </w:tbl>
    <w:p w14:paraId="4DCE8452" w14:textId="77777777" w:rsidR="001704C5" w:rsidRPr="00064E89" w:rsidRDefault="001704C5">
      <w:pPr>
        <w:rPr>
          <w:rFonts w:ascii="Calibri" w:hAnsi="Calibri"/>
        </w:rPr>
      </w:pPr>
    </w:p>
    <w:p w14:paraId="06B72199" w14:textId="77777777" w:rsidR="001704C5" w:rsidRPr="00064E89" w:rsidRDefault="001704C5">
      <w:pPr>
        <w:rPr>
          <w:rFonts w:ascii="Calibri" w:hAnsi="Calibri"/>
        </w:rPr>
      </w:pPr>
      <w:r w:rsidRPr="00064E89">
        <w:rPr>
          <w:rFonts w:ascii="Calibri" w:hAnsi="Calibri"/>
        </w:rPr>
        <w:br w:type="page"/>
      </w:r>
    </w:p>
    <w:p w14:paraId="3A909BF6" w14:textId="77777777" w:rsidR="001704C5" w:rsidRPr="00064E89" w:rsidRDefault="001704C5">
      <w:pPr>
        <w:rPr>
          <w:rFonts w:ascii="Calibri" w:hAnsi="Calibri"/>
        </w:rPr>
      </w:pPr>
    </w:p>
    <w:tbl>
      <w:tblPr>
        <w:tblStyle w:val="TableGrid"/>
        <w:tblW w:w="0" w:type="auto"/>
        <w:tblLook w:val="04A0" w:firstRow="1" w:lastRow="0" w:firstColumn="1" w:lastColumn="0" w:noHBand="0" w:noVBand="1"/>
      </w:tblPr>
      <w:tblGrid>
        <w:gridCol w:w="2635"/>
        <w:gridCol w:w="2635"/>
        <w:gridCol w:w="2635"/>
        <w:gridCol w:w="2635"/>
        <w:gridCol w:w="2636"/>
      </w:tblGrid>
      <w:tr w:rsidR="00A93F42" w:rsidRPr="00064E89" w14:paraId="7FE4A362" w14:textId="77777777" w:rsidTr="00A93F42">
        <w:tc>
          <w:tcPr>
            <w:tcW w:w="2635" w:type="dxa"/>
          </w:tcPr>
          <w:p w14:paraId="58BBFABE" w14:textId="77777777" w:rsidR="00A93F42" w:rsidRPr="00064E89" w:rsidRDefault="00A93F42" w:rsidP="00BD44EF">
            <w:pPr>
              <w:keepNext/>
              <w:rPr>
                <w:rFonts w:ascii="Calibri" w:hAnsi="Calibri"/>
                <w:sz w:val="20"/>
                <w:szCs w:val="20"/>
              </w:rPr>
            </w:pPr>
            <w:r w:rsidRPr="00064E89">
              <w:rPr>
                <w:rFonts w:ascii="Calibri" w:hAnsi="Calibri"/>
                <w:sz w:val="20"/>
                <w:szCs w:val="20"/>
              </w:rPr>
              <w:t>Assigned Responsibilities and Timelines</w:t>
            </w:r>
          </w:p>
        </w:tc>
        <w:tc>
          <w:tcPr>
            <w:tcW w:w="2635" w:type="dxa"/>
          </w:tcPr>
          <w:p w14:paraId="3E8F24B7" w14:textId="1FF3D6D0" w:rsidR="00A93F42" w:rsidRPr="00064E89" w:rsidRDefault="00A93F42" w:rsidP="00BD44EF">
            <w:pPr>
              <w:keepNext/>
              <w:rPr>
                <w:rFonts w:ascii="Calibri" w:hAnsi="Calibri"/>
                <w:sz w:val="20"/>
                <w:szCs w:val="20"/>
              </w:rPr>
            </w:pPr>
          </w:p>
        </w:tc>
        <w:tc>
          <w:tcPr>
            <w:tcW w:w="2635" w:type="dxa"/>
          </w:tcPr>
          <w:p w14:paraId="14804438" w14:textId="6884B217" w:rsidR="00A93F42" w:rsidRPr="00064E89" w:rsidRDefault="00A93F42" w:rsidP="00BD44EF">
            <w:pPr>
              <w:keepNext/>
              <w:rPr>
                <w:rFonts w:ascii="Calibri" w:hAnsi="Calibri"/>
                <w:sz w:val="20"/>
                <w:szCs w:val="20"/>
              </w:rPr>
            </w:pPr>
          </w:p>
        </w:tc>
        <w:tc>
          <w:tcPr>
            <w:tcW w:w="2635" w:type="dxa"/>
          </w:tcPr>
          <w:p w14:paraId="17C5D39D" w14:textId="45B115F7" w:rsidR="00A93F42" w:rsidRPr="00064E89" w:rsidRDefault="00A93F42" w:rsidP="00BD44EF">
            <w:pPr>
              <w:keepNext/>
              <w:rPr>
                <w:rFonts w:ascii="Calibri" w:hAnsi="Calibri"/>
                <w:sz w:val="20"/>
                <w:szCs w:val="20"/>
              </w:rPr>
            </w:pPr>
          </w:p>
        </w:tc>
        <w:tc>
          <w:tcPr>
            <w:tcW w:w="2636" w:type="dxa"/>
          </w:tcPr>
          <w:p w14:paraId="1B53FB83" w14:textId="35A47701" w:rsidR="00A93F42" w:rsidRPr="00064E89" w:rsidRDefault="00A93F42" w:rsidP="00BD44EF">
            <w:pPr>
              <w:keepNext/>
              <w:rPr>
                <w:rFonts w:ascii="Calibri" w:hAnsi="Calibri"/>
                <w:sz w:val="20"/>
                <w:szCs w:val="20"/>
              </w:rPr>
            </w:pPr>
          </w:p>
        </w:tc>
      </w:tr>
      <w:tr w:rsidR="00A93F42" w:rsidRPr="00064E89" w14:paraId="5D3DC7D0" w14:textId="77777777" w:rsidTr="00A93F42">
        <w:tc>
          <w:tcPr>
            <w:tcW w:w="2635" w:type="dxa"/>
          </w:tcPr>
          <w:p w14:paraId="015CDBCB" w14:textId="2C93F08D" w:rsidR="00A93F42" w:rsidRPr="00064E89" w:rsidRDefault="00A93F42" w:rsidP="00A93F42">
            <w:pPr>
              <w:rPr>
                <w:rFonts w:ascii="Calibri" w:hAnsi="Calibri"/>
                <w:sz w:val="20"/>
                <w:szCs w:val="20"/>
              </w:rPr>
            </w:pPr>
          </w:p>
        </w:tc>
        <w:tc>
          <w:tcPr>
            <w:tcW w:w="2635" w:type="dxa"/>
          </w:tcPr>
          <w:p w14:paraId="6268B184" w14:textId="48577520" w:rsidR="00A93F42" w:rsidRPr="00064E89" w:rsidRDefault="00A93F42" w:rsidP="00A93F42">
            <w:pPr>
              <w:rPr>
                <w:rFonts w:ascii="Calibri" w:hAnsi="Calibri"/>
                <w:sz w:val="20"/>
                <w:szCs w:val="20"/>
              </w:rPr>
            </w:pPr>
            <w:r w:rsidRPr="00064E89">
              <w:rPr>
                <w:rFonts w:ascii="Calibri" w:hAnsi="Calibri"/>
                <w:sz w:val="20"/>
                <w:szCs w:val="20"/>
              </w:rPr>
              <w:t xml:space="preserve">Individuals responsible for achieving goals and associated policies, and reporting progress (champions) have not been identified. </w:t>
            </w:r>
          </w:p>
        </w:tc>
        <w:tc>
          <w:tcPr>
            <w:tcW w:w="2635" w:type="dxa"/>
          </w:tcPr>
          <w:p w14:paraId="656F0CB0" w14:textId="02B3B039" w:rsidR="00A93F42" w:rsidRPr="00064E89" w:rsidRDefault="00A93F42" w:rsidP="00A93F42">
            <w:pPr>
              <w:rPr>
                <w:rFonts w:ascii="Calibri" w:hAnsi="Calibri"/>
                <w:sz w:val="20"/>
                <w:szCs w:val="20"/>
              </w:rPr>
            </w:pPr>
            <w:r w:rsidRPr="00064E89">
              <w:rPr>
                <w:rFonts w:ascii="Calibri" w:hAnsi="Calibri"/>
                <w:sz w:val="20"/>
                <w:szCs w:val="20"/>
              </w:rPr>
              <w:t xml:space="preserve">Champions have been identified and a time limited pilot phase to test the new practices has begun. </w:t>
            </w:r>
          </w:p>
        </w:tc>
        <w:tc>
          <w:tcPr>
            <w:tcW w:w="2635" w:type="dxa"/>
          </w:tcPr>
          <w:p w14:paraId="7046AB47" w14:textId="77777777" w:rsidR="00A93F42" w:rsidRPr="00064E89" w:rsidRDefault="00A93F42" w:rsidP="00A93F42">
            <w:pPr>
              <w:rPr>
                <w:rFonts w:ascii="Calibri" w:hAnsi="Calibri"/>
                <w:sz w:val="20"/>
                <w:szCs w:val="20"/>
              </w:rPr>
            </w:pPr>
            <w:r w:rsidRPr="00064E89">
              <w:rPr>
                <w:rFonts w:ascii="Calibri" w:hAnsi="Calibri"/>
                <w:sz w:val="20"/>
                <w:szCs w:val="20"/>
              </w:rPr>
              <w:t xml:space="preserve">Further champions have been identified, pilots have been completed and lessons learned incorporated into policy and practice.  Scale up to organization wide implementation has begun and timeline established.  Work on the next set of priorities has begun. </w:t>
            </w:r>
          </w:p>
        </w:tc>
        <w:tc>
          <w:tcPr>
            <w:tcW w:w="2636" w:type="dxa"/>
          </w:tcPr>
          <w:p w14:paraId="6225BFD9" w14:textId="77777777" w:rsidR="00A93F42" w:rsidRPr="00064E89" w:rsidRDefault="00A93F42" w:rsidP="00A93F42">
            <w:pPr>
              <w:rPr>
                <w:rFonts w:ascii="Calibri" w:hAnsi="Calibri"/>
                <w:sz w:val="20"/>
                <w:szCs w:val="20"/>
              </w:rPr>
            </w:pPr>
            <w:r w:rsidRPr="00064E89">
              <w:rPr>
                <w:rFonts w:ascii="Calibri" w:hAnsi="Calibri"/>
                <w:sz w:val="20"/>
                <w:szCs w:val="20"/>
              </w:rPr>
              <w:t xml:space="preserve">Organization wide implementation has been achieved.  Champions are monitoring fidelity to the new model of care and providing regular progress reports to leadership.  CQI methods are used to identify and spread best practices. </w:t>
            </w:r>
          </w:p>
        </w:tc>
      </w:tr>
      <w:tr w:rsidR="00A93F42" w:rsidRPr="00064E89" w14:paraId="0F383EB6" w14:textId="77777777" w:rsidTr="00A93F42">
        <w:tc>
          <w:tcPr>
            <w:tcW w:w="2635" w:type="dxa"/>
          </w:tcPr>
          <w:p w14:paraId="26276A8E" w14:textId="3146AFC6" w:rsidR="00A93F42" w:rsidRPr="00064E89" w:rsidRDefault="00A93F42" w:rsidP="00BD44EF">
            <w:pPr>
              <w:keepNext/>
              <w:rPr>
                <w:rFonts w:ascii="Calibri" w:hAnsi="Calibri"/>
                <w:sz w:val="20"/>
                <w:szCs w:val="20"/>
              </w:rPr>
            </w:pPr>
          </w:p>
        </w:tc>
        <w:tc>
          <w:tcPr>
            <w:tcW w:w="2635" w:type="dxa"/>
          </w:tcPr>
          <w:p w14:paraId="512F83F4" w14:textId="7FD21D43" w:rsidR="00A93F42" w:rsidRPr="00064E89" w:rsidRDefault="00A93F42" w:rsidP="00BD44EF">
            <w:pPr>
              <w:keepNext/>
              <w:rPr>
                <w:rFonts w:ascii="Calibri" w:hAnsi="Calibri"/>
                <w:sz w:val="20"/>
                <w:szCs w:val="20"/>
              </w:rPr>
            </w:pPr>
          </w:p>
        </w:tc>
        <w:tc>
          <w:tcPr>
            <w:tcW w:w="2635" w:type="dxa"/>
          </w:tcPr>
          <w:p w14:paraId="26E61497" w14:textId="3AB9877B" w:rsidR="00A93F42" w:rsidRPr="00064E89" w:rsidRDefault="00A93F42" w:rsidP="00BD44EF">
            <w:pPr>
              <w:keepNext/>
              <w:rPr>
                <w:rFonts w:ascii="Calibri" w:hAnsi="Calibri"/>
                <w:sz w:val="20"/>
                <w:szCs w:val="20"/>
              </w:rPr>
            </w:pPr>
          </w:p>
        </w:tc>
        <w:tc>
          <w:tcPr>
            <w:tcW w:w="2635" w:type="dxa"/>
          </w:tcPr>
          <w:p w14:paraId="63B09C60" w14:textId="7A8F41FC" w:rsidR="00A93F42" w:rsidRPr="00064E89" w:rsidRDefault="00A93F42" w:rsidP="00BD44EF">
            <w:pPr>
              <w:keepNext/>
              <w:rPr>
                <w:rFonts w:ascii="Calibri" w:hAnsi="Calibri"/>
                <w:sz w:val="20"/>
                <w:szCs w:val="20"/>
              </w:rPr>
            </w:pPr>
          </w:p>
        </w:tc>
        <w:tc>
          <w:tcPr>
            <w:tcW w:w="2636" w:type="dxa"/>
          </w:tcPr>
          <w:p w14:paraId="096BFF92" w14:textId="64E36B9D" w:rsidR="00A93F42" w:rsidRPr="00064E89" w:rsidRDefault="00A93F42" w:rsidP="00BD44EF">
            <w:pPr>
              <w:keepNext/>
              <w:rPr>
                <w:rFonts w:ascii="Calibri" w:hAnsi="Calibri"/>
                <w:sz w:val="20"/>
                <w:szCs w:val="20"/>
              </w:rPr>
            </w:pPr>
          </w:p>
        </w:tc>
      </w:tr>
      <w:tr w:rsidR="00A93F42" w:rsidRPr="00064E89" w14:paraId="0814132C" w14:textId="77777777" w:rsidTr="00A93F42">
        <w:tc>
          <w:tcPr>
            <w:tcW w:w="2635" w:type="dxa"/>
          </w:tcPr>
          <w:p w14:paraId="7BCA8835" w14:textId="32FD87F4" w:rsidR="00A93F42" w:rsidRPr="00064E89" w:rsidRDefault="00A93F42" w:rsidP="00A93F42">
            <w:pPr>
              <w:rPr>
                <w:rFonts w:ascii="Calibri" w:hAnsi="Calibri"/>
                <w:sz w:val="20"/>
                <w:szCs w:val="20"/>
              </w:rPr>
            </w:pPr>
          </w:p>
        </w:tc>
        <w:tc>
          <w:tcPr>
            <w:tcW w:w="2635" w:type="dxa"/>
          </w:tcPr>
          <w:p w14:paraId="23D84D05" w14:textId="6A0AC5DB" w:rsidR="00A93F42" w:rsidRPr="00064E89" w:rsidRDefault="00A93F42" w:rsidP="00A93F42">
            <w:pPr>
              <w:rPr>
                <w:rFonts w:ascii="Calibri" w:hAnsi="Calibri"/>
                <w:sz w:val="20"/>
                <w:szCs w:val="20"/>
              </w:rPr>
            </w:pPr>
          </w:p>
        </w:tc>
        <w:tc>
          <w:tcPr>
            <w:tcW w:w="2635" w:type="dxa"/>
          </w:tcPr>
          <w:p w14:paraId="3C0F84B8" w14:textId="78D1A379" w:rsidR="00A93F42" w:rsidRPr="00064E89" w:rsidRDefault="00A93F42" w:rsidP="00A93F42">
            <w:pPr>
              <w:rPr>
                <w:rFonts w:ascii="Calibri" w:hAnsi="Calibri"/>
                <w:sz w:val="20"/>
                <w:szCs w:val="20"/>
              </w:rPr>
            </w:pPr>
          </w:p>
        </w:tc>
        <w:tc>
          <w:tcPr>
            <w:tcW w:w="2635" w:type="dxa"/>
          </w:tcPr>
          <w:p w14:paraId="3A6360C2" w14:textId="541C031B" w:rsidR="00A93F42" w:rsidRPr="00064E89" w:rsidRDefault="00A93F42" w:rsidP="00A93F42">
            <w:pPr>
              <w:rPr>
                <w:rFonts w:ascii="Calibri" w:hAnsi="Calibri"/>
                <w:sz w:val="20"/>
                <w:szCs w:val="20"/>
              </w:rPr>
            </w:pPr>
          </w:p>
        </w:tc>
        <w:tc>
          <w:tcPr>
            <w:tcW w:w="2636" w:type="dxa"/>
          </w:tcPr>
          <w:p w14:paraId="1183CB1F" w14:textId="67F218AC" w:rsidR="00A93F42" w:rsidRPr="00064E89" w:rsidRDefault="00A93F42" w:rsidP="00A93F42">
            <w:pPr>
              <w:rPr>
                <w:rFonts w:ascii="Calibri" w:hAnsi="Calibri"/>
                <w:sz w:val="20"/>
                <w:szCs w:val="20"/>
              </w:rPr>
            </w:pPr>
          </w:p>
        </w:tc>
      </w:tr>
      <w:tr w:rsidR="001704C5" w:rsidRPr="00064E89" w14:paraId="66522047" w14:textId="77777777" w:rsidTr="001704C5">
        <w:tc>
          <w:tcPr>
            <w:tcW w:w="2635" w:type="dxa"/>
          </w:tcPr>
          <w:p w14:paraId="0530273A" w14:textId="77777777" w:rsidR="001704C5" w:rsidRPr="00064E89" w:rsidRDefault="001704C5" w:rsidP="003A45E5">
            <w:pPr>
              <w:keepNext/>
              <w:rPr>
                <w:rFonts w:ascii="Calibri" w:hAnsi="Calibri"/>
                <w:sz w:val="20"/>
                <w:szCs w:val="20"/>
              </w:rPr>
            </w:pPr>
            <w:r w:rsidRPr="00064E89">
              <w:rPr>
                <w:rFonts w:ascii="Calibri" w:hAnsi="Calibri"/>
                <w:sz w:val="20"/>
                <w:szCs w:val="20"/>
              </w:rPr>
              <w:t>Community Collaboration</w:t>
            </w:r>
          </w:p>
        </w:tc>
        <w:tc>
          <w:tcPr>
            <w:tcW w:w="2635" w:type="dxa"/>
          </w:tcPr>
          <w:p w14:paraId="235D7DF1" w14:textId="4DA96EBA" w:rsidR="001704C5" w:rsidRPr="00064E89" w:rsidRDefault="001704C5" w:rsidP="003A45E5">
            <w:pPr>
              <w:keepNext/>
              <w:rPr>
                <w:rFonts w:ascii="Calibri" w:hAnsi="Calibri"/>
                <w:sz w:val="20"/>
                <w:szCs w:val="20"/>
              </w:rPr>
            </w:pPr>
          </w:p>
        </w:tc>
        <w:tc>
          <w:tcPr>
            <w:tcW w:w="2635" w:type="dxa"/>
          </w:tcPr>
          <w:p w14:paraId="54B53DEC" w14:textId="7809B327" w:rsidR="001704C5" w:rsidRPr="00064E89" w:rsidRDefault="001704C5" w:rsidP="003A45E5">
            <w:pPr>
              <w:keepNext/>
              <w:rPr>
                <w:rFonts w:ascii="Calibri" w:hAnsi="Calibri"/>
                <w:sz w:val="20"/>
                <w:szCs w:val="20"/>
              </w:rPr>
            </w:pPr>
          </w:p>
        </w:tc>
        <w:tc>
          <w:tcPr>
            <w:tcW w:w="2635" w:type="dxa"/>
          </w:tcPr>
          <w:p w14:paraId="4815697D" w14:textId="272ADA5A" w:rsidR="001704C5" w:rsidRPr="00064E89" w:rsidRDefault="001704C5" w:rsidP="003A45E5">
            <w:pPr>
              <w:keepNext/>
              <w:rPr>
                <w:rFonts w:ascii="Calibri" w:hAnsi="Calibri"/>
                <w:sz w:val="20"/>
                <w:szCs w:val="20"/>
              </w:rPr>
            </w:pPr>
          </w:p>
        </w:tc>
        <w:tc>
          <w:tcPr>
            <w:tcW w:w="2636" w:type="dxa"/>
          </w:tcPr>
          <w:p w14:paraId="787CC9AE" w14:textId="320779D9" w:rsidR="001704C5" w:rsidRPr="00064E89" w:rsidRDefault="001704C5" w:rsidP="003A45E5">
            <w:pPr>
              <w:keepNext/>
              <w:rPr>
                <w:rFonts w:ascii="Calibri" w:hAnsi="Calibri"/>
                <w:sz w:val="20"/>
                <w:szCs w:val="20"/>
              </w:rPr>
            </w:pPr>
          </w:p>
        </w:tc>
      </w:tr>
      <w:tr w:rsidR="001704C5" w:rsidRPr="00064E89" w14:paraId="06DAFB39" w14:textId="77777777" w:rsidTr="001704C5">
        <w:tc>
          <w:tcPr>
            <w:tcW w:w="2635" w:type="dxa"/>
          </w:tcPr>
          <w:p w14:paraId="77AD3E99" w14:textId="3CC9E7F8" w:rsidR="001704C5" w:rsidRPr="00064E89" w:rsidRDefault="001704C5" w:rsidP="003A45E5">
            <w:pPr>
              <w:rPr>
                <w:rFonts w:ascii="Calibri" w:hAnsi="Calibri"/>
                <w:sz w:val="20"/>
                <w:szCs w:val="20"/>
              </w:rPr>
            </w:pPr>
          </w:p>
        </w:tc>
        <w:tc>
          <w:tcPr>
            <w:tcW w:w="2635" w:type="dxa"/>
          </w:tcPr>
          <w:p w14:paraId="4C47689F" w14:textId="77777777" w:rsidR="001704C5" w:rsidRPr="00064E89" w:rsidRDefault="001704C5" w:rsidP="003A45E5">
            <w:pPr>
              <w:rPr>
                <w:rFonts w:ascii="Calibri" w:hAnsi="Calibri"/>
                <w:sz w:val="20"/>
                <w:szCs w:val="20"/>
              </w:rPr>
            </w:pPr>
            <w:r w:rsidRPr="00064E89">
              <w:rPr>
                <w:rFonts w:ascii="Calibri" w:hAnsi="Calibri"/>
                <w:sz w:val="20"/>
                <w:szCs w:val="20"/>
              </w:rPr>
              <w:t xml:space="preserve">Leadership has not engaged in a community-level effort to collaborate and coordinate pain management, care for patients and families, and reduce the availability of opioids. </w:t>
            </w:r>
          </w:p>
        </w:tc>
        <w:tc>
          <w:tcPr>
            <w:tcW w:w="2635" w:type="dxa"/>
          </w:tcPr>
          <w:p w14:paraId="6A856B1C" w14:textId="77777777" w:rsidR="001704C5" w:rsidRPr="00064E89" w:rsidRDefault="001704C5" w:rsidP="003A45E5">
            <w:pPr>
              <w:rPr>
                <w:rFonts w:ascii="Calibri" w:hAnsi="Calibri"/>
                <w:sz w:val="20"/>
                <w:szCs w:val="20"/>
              </w:rPr>
            </w:pPr>
            <w:r w:rsidRPr="00064E89">
              <w:rPr>
                <w:rFonts w:ascii="Calibri" w:hAnsi="Calibri"/>
                <w:sz w:val="20"/>
                <w:szCs w:val="20"/>
              </w:rPr>
              <w:t xml:space="preserve">Leadership has engaged somewhat with other community health care organizations and agencies, but not in a systematic way. </w:t>
            </w:r>
          </w:p>
        </w:tc>
        <w:tc>
          <w:tcPr>
            <w:tcW w:w="2635" w:type="dxa"/>
          </w:tcPr>
          <w:p w14:paraId="1B6AF8BA" w14:textId="09163893" w:rsidR="001704C5" w:rsidRPr="00064E89" w:rsidRDefault="001704C5" w:rsidP="003A45E5">
            <w:pPr>
              <w:rPr>
                <w:rFonts w:ascii="Calibri" w:hAnsi="Calibri"/>
                <w:sz w:val="20"/>
                <w:szCs w:val="20"/>
              </w:rPr>
            </w:pPr>
            <w:r w:rsidRPr="00064E89">
              <w:rPr>
                <w:rFonts w:ascii="Calibri" w:hAnsi="Calibri"/>
                <w:sz w:val="20"/>
                <w:szCs w:val="20"/>
              </w:rPr>
              <w:t xml:space="preserve">Leadership has engaged in a community level effort. Community goals have been set and agreed upon by participating organization(s). </w:t>
            </w:r>
          </w:p>
        </w:tc>
        <w:tc>
          <w:tcPr>
            <w:tcW w:w="2636" w:type="dxa"/>
          </w:tcPr>
          <w:p w14:paraId="71D4AC18" w14:textId="6E0FEBFB" w:rsidR="001704C5" w:rsidRPr="00064E89" w:rsidRDefault="001704C5" w:rsidP="003A45E5">
            <w:pPr>
              <w:rPr>
                <w:rFonts w:ascii="Calibri" w:hAnsi="Calibri"/>
                <w:sz w:val="20"/>
                <w:szCs w:val="20"/>
              </w:rPr>
            </w:pPr>
            <w:proofErr w:type="gramStart"/>
            <w:r w:rsidRPr="00064E89">
              <w:rPr>
                <w:rFonts w:ascii="Calibri" w:hAnsi="Calibri"/>
                <w:sz w:val="20"/>
                <w:szCs w:val="20"/>
              </w:rPr>
              <w:t>All of the</w:t>
            </w:r>
            <w:proofErr w:type="gramEnd"/>
            <w:r w:rsidRPr="00064E89">
              <w:rPr>
                <w:rFonts w:ascii="Calibri" w:hAnsi="Calibri"/>
                <w:sz w:val="20"/>
                <w:szCs w:val="20"/>
              </w:rPr>
              <w:t xml:space="preserve"> above, plus: Leadership has committed resources to achieve community wide goals. </w:t>
            </w:r>
          </w:p>
        </w:tc>
      </w:tr>
    </w:tbl>
    <w:p w14:paraId="19E47FC5" w14:textId="77777777" w:rsidR="001704C5" w:rsidRPr="00064E89" w:rsidRDefault="001704C5" w:rsidP="00FE2B39">
      <w:pPr>
        <w:pStyle w:val="H3"/>
        <w:spacing w:after="0"/>
        <w:rPr>
          <w:rFonts w:ascii="Calibri" w:hAnsi="Calibri"/>
          <w:sz w:val="28"/>
          <w:szCs w:val="28"/>
        </w:rPr>
      </w:pPr>
    </w:p>
    <w:p w14:paraId="6E0655AC" w14:textId="77777777" w:rsidR="001704C5" w:rsidRPr="00064E89" w:rsidRDefault="001704C5">
      <w:pPr>
        <w:rPr>
          <w:rFonts w:ascii="Calibri" w:hAnsi="Calibri"/>
          <w:b/>
          <w:color w:val="000000"/>
          <w:sz w:val="28"/>
          <w:szCs w:val="28"/>
        </w:rPr>
      </w:pPr>
      <w:r w:rsidRPr="00064E89">
        <w:rPr>
          <w:rFonts w:ascii="Calibri" w:hAnsi="Calibri"/>
          <w:sz w:val="28"/>
          <w:szCs w:val="28"/>
        </w:rPr>
        <w:br w:type="page"/>
      </w:r>
    </w:p>
    <w:p w14:paraId="04118EAA" w14:textId="04D4473B" w:rsidR="007B637B" w:rsidRPr="00064E89" w:rsidRDefault="004F7A13" w:rsidP="00FE2B39">
      <w:pPr>
        <w:pStyle w:val="H3"/>
        <w:spacing w:after="0"/>
        <w:rPr>
          <w:rFonts w:ascii="Calibri" w:hAnsi="Calibri"/>
          <w:sz w:val="28"/>
          <w:szCs w:val="28"/>
        </w:rPr>
      </w:pPr>
      <w:r w:rsidRPr="00064E89">
        <w:rPr>
          <w:rFonts w:ascii="Calibri" w:hAnsi="Calibri"/>
          <w:sz w:val="28"/>
          <w:szCs w:val="28"/>
        </w:rPr>
        <w:lastRenderedPageBreak/>
        <w:t>Building Block #2: Policies</w:t>
      </w:r>
    </w:p>
    <w:tbl>
      <w:tblPr>
        <w:tblStyle w:val="TableGrid"/>
        <w:tblW w:w="0" w:type="auto"/>
        <w:tblLook w:val="04A0" w:firstRow="1" w:lastRow="0" w:firstColumn="1" w:lastColumn="0" w:noHBand="0" w:noVBand="1"/>
      </w:tblPr>
      <w:tblGrid>
        <w:gridCol w:w="2635"/>
        <w:gridCol w:w="2635"/>
        <w:gridCol w:w="2635"/>
        <w:gridCol w:w="2635"/>
        <w:gridCol w:w="2636"/>
      </w:tblGrid>
      <w:tr w:rsidR="00A93F42" w:rsidRPr="00064E89" w14:paraId="36C362AF" w14:textId="77777777" w:rsidTr="00A93F42">
        <w:tc>
          <w:tcPr>
            <w:tcW w:w="2635" w:type="dxa"/>
          </w:tcPr>
          <w:p w14:paraId="3CF2DE73" w14:textId="14B33CA5" w:rsidR="00A93F42" w:rsidRPr="00064E89" w:rsidRDefault="00A93F42" w:rsidP="006F7B0F">
            <w:pPr>
              <w:keepNext/>
              <w:rPr>
                <w:rFonts w:ascii="Calibri" w:hAnsi="Calibri"/>
                <w:sz w:val="20"/>
                <w:szCs w:val="20"/>
              </w:rPr>
            </w:pPr>
            <w:r w:rsidRPr="00064E89">
              <w:rPr>
                <w:rFonts w:ascii="Calibri" w:hAnsi="Calibri"/>
                <w:sz w:val="20"/>
                <w:szCs w:val="20"/>
              </w:rPr>
              <w:t>Acute Pain Prescribing Policies for Opioids</w:t>
            </w:r>
          </w:p>
        </w:tc>
        <w:tc>
          <w:tcPr>
            <w:tcW w:w="2635" w:type="dxa"/>
          </w:tcPr>
          <w:p w14:paraId="4C4CC834" w14:textId="3B2A3CF0" w:rsidR="00A93F42" w:rsidRPr="00064E89" w:rsidRDefault="00A93F42" w:rsidP="006F7B0F">
            <w:pPr>
              <w:keepNext/>
              <w:rPr>
                <w:rFonts w:ascii="Calibri" w:hAnsi="Calibri"/>
                <w:sz w:val="20"/>
                <w:szCs w:val="20"/>
              </w:rPr>
            </w:pPr>
          </w:p>
        </w:tc>
        <w:tc>
          <w:tcPr>
            <w:tcW w:w="2635" w:type="dxa"/>
          </w:tcPr>
          <w:p w14:paraId="38A95858" w14:textId="5E70A977" w:rsidR="00A93F42" w:rsidRPr="00064E89" w:rsidRDefault="00A93F42" w:rsidP="006F7B0F">
            <w:pPr>
              <w:keepNext/>
              <w:rPr>
                <w:rFonts w:ascii="Calibri" w:hAnsi="Calibri"/>
                <w:sz w:val="20"/>
                <w:szCs w:val="20"/>
              </w:rPr>
            </w:pPr>
          </w:p>
        </w:tc>
        <w:tc>
          <w:tcPr>
            <w:tcW w:w="2635" w:type="dxa"/>
          </w:tcPr>
          <w:p w14:paraId="53AEFF8F" w14:textId="232211C0" w:rsidR="00A93F42" w:rsidRPr="00064E89" w:rsidRDefault="00A93F42" w:rsidP="006F7B0F">
            <w:pPr>
              <w:keepNext/>
              <w:rPr>
                <w:rFonts w:ascii="Calibri" w:hAnsi="Calibri"/>
                <w:sz w:val="20"/>
                <w:szCs w:val="20"/>
              </w:rPr>
            </w:pPr>
          </w:p>
        </w:tc>
        <w:tc>
          <w:tcPr>
            <w:tcW w:w="2636" w:type="dxa"/>
          </w:tcPr>
          <w:p w14:paraId="7B8EF7BF" w14:textId="6D0FAC38" w:rsidR="00A93F42" w:rsidRPr="00064E89" w:rsidRDefault="00A93F42" w:rsidP="006F7B0F">
            <w:pPr>
              <w:keepNext/>
              <w:rPr>
                <w:rFonts w:ascii="Calibri" w:hAnsi="Calibri"/>
                <w:sz w:val="20"/>
                <w:szCs w:val="20"/>
              </w:rPr>
            </w:pPr>
          </w:p>
        </w:tc>
      </w:tr>
      <w:tr w:rsidR="00A93F42" w:rsidRPr="00064E89" w14:paraId="0686E7BC" w14:textId="77777777" w:rsidTr="00A93F42">
        <w:tc>
          <w:tcPr>
            <w:tcW w:w="2635" w:type="dxa"/>
          </w:tcPr>
          <w:p w14:paraId="00AD96A4" w14:textId="72FFDAF4" w:rsidR="00A93F42" w:rsidRPr="00064E89" w:rsidRDefault="00A93F42" w:rsidP="00A93F42">
            <w:pPr>
              <w:rPr>
                <w:rFonts w:ascii="Calibri" w:hAnsi="Calibri"/>
                <w:sz w:val="20"/>
                <w:szCs w:val="20"/>
              </w:rPr>
            </w:pPr>
          </w:p>
        </w:tc>
        <w:tc>
          <w:tcPr>
            <w:tcW w:w="2635" w:type="dxa"/>
          </w:tcPr>
          <w:p w14:paraId="1E78B47F" w14:textId="77777777" w:rsidR="00A93F42" w:rsidRPr="00064E89" w:rsidRDefault="00A93F42" w:rsidP="00A93F42">
            <w:pPr>
              <w:rPr>
                <w:rFonts w:ascii="Calibri" w:hAnsi="Calibri"/>
                <w:sz w:val="20"/>
                <w:szCs w:val="20"/>
              </w:rPr>
            </w:pPr>
            <w:r w:rsidRPr="00064E89">
              <w:rPr>
                <w:rFonts w:ascii="Calibri" w:hAnsi="Calibri"/>
                <w:sz w:val="20"/>
                <w:szCs w:val="20"/>
              </w:rPr>
              <w:t xml:space="preserve">Prescribing policies either do not exist or do not cover many prescribing situations. </w:t>
            </w:r>
          </w:p>
        </w:tc>
        <w:tc>
          <w:tcPr>
            <w:tcW w:w="2635" w:type="dxa"/>
          </w:tcPr>
          <w:p w14:paraId="04CB3C89" w14:textId="6AB129E6" w:rsidR="00A93F42" w:rsidRPr="00064E89" w:rsidRDefault="00A93F42" w:rsidP="00A93F42">
            <w:pPr>
              <w:rPr>
                <w:rFonts w:ascii="Calibri" w:hAnsi="Calibri"/>
                <w:sz w:val="20"/>
                <w:szCs w:val="20"/>
              </w:rPr>
            </w:pPr>
            <w:r w:rsidRPr="00064E89">
              <w:rPr>
                <w:rFonts w:ascii="Calibri" w:hAnsi="Calibri"/>
                <w:szCs w:val="20"/>
              </w:rPr>
              <w:t xml:space="preserve">Dosing guidelines exist guided by best practices and input from pharmacy and staff, </w:t>
            </w:r>
            <w:r w:rsidRPr="00064E89">
              <w:rPr>
                <w:rFonts w:ascii="Calibri" w:hAnsi="Calibri"/>
                <w:sz w:val="20"/>
                <w:szCs w:val="20"/>
              </w:rPr>
              <w:t xml:space="preserve">but have not yet been implemented. </w:t>
            </w:r>
          </w:p>
        </w:tc>
        <w:tc>
          <w:tcPr>
            <w:tcW w:w="2635" w:type="dxa"/>
          </w:tcPr>
          <w:p w14:paraId="775462CB" w14:textId="694EE0E4" w:rsidR="00A93F42" w:rsidRPr="00064E89" w:rsidRDefault="00A93F42" w:rsidP="00A93F42">
            <w:pPr>
              <w:rPr>
                <w:rFonts w:ascii="Calibri" w:hAnsi="Calibri"/>
                <w:sz w:val="20"/>
                <w:szCs w:val="20"/>
              </w:rPr>
            </w:pPr>
            <w:proofErr w:type="gramStart"/>
            <w:r w:rsidRPr="00064E89">
              <w:rPr>
                <w:rFonts w:ascii="Calibri" w:hAnsi="Calibri"/>
                <w:szCs w:val="20"/>
              </w:rPr>
              <w:t>All of the</w:t>
            </w:r>
            <w:proofErr w:type="gramEnd"/>
            <w:r w:rsidRPr="00064E89">
              <w:rPr>
                <w:rFonts w:ascii="Calibri" w:hAnsi="Calibri"/>
                <w:szCs w:val="20"/>
              </w:rPr>
              <w:t xml:space="preserve"> above, plus: Guidelines have been implemented. Policies, EHR pharmacy prompts, and QI assessment are in place, but </w:t>
            </w:r>
            <w:proofErr w:type="gramStart"/>
            <w:r w:rsidRPr="00064E89">
              <w:rPr>
                <w:rFonts w:ascii="Calibri" w:hAnsi="Calibri"/>
                <w:szCs w:val="20"/>
              </w:rPr>
              <w:t xml:space="preserve">staff </w:t>
            </w:r>
            <w:r w:rsidRPr="00064E89">
              <w:rPr>
                <w:rFonts w:ascii="Calibri" w:hAnsi="Calibri"/>
                <w:sz w:val="20"/>
                <w:szCs w:val="20"/>
              </w:rPr>
              <w:t>have</w:t>
            </w:r>
            <w:proofErr w:type="gramEnd"/>
            <w:r w:rsidRPr="00064E89">
              <w:rPr>
                <w:rFonts w:ascii="Calibri" w:hAnsi="Calibri"/>
                <w:sz w:val="20"/>
                <w:szCs w:val="20"/>
              </w:rPr>
              <w:t xml:space="preserve"> not been trained. </w:t>
            </w:r>
          </w:p>
        </w:tc>
        <w:tc>
          <w:tcPr>
            <w:tcW w:w="2636" w:type="dxa"/>
          </w:tcPr>
          <w:p w14:paraId="7B5EFFC3" w14:textId="77777777" w:rsidR="00A93F42" w:rsidRPr="00064E89" w:rsidRDefault="00A93F42" w:rsidP="00A93F42">
            <w:pPr>
              <w:rPr>
                <w:rFonts w:ascii="Calibri" w:hAnsi="Calibri"/>
                <w:sz w:val="20"/>
                <w:szCs w:val="20"/>
              </w:rPr>
            </w:pPr>
            <w:proofErr w:type="gramStart"/>
            <w:r w:rsidRPr="00064E89">
              <w:rPr>
                <w:rFonts w:ascii="Calibri" w:hAnsi="Calibri"/>
                <w:sz w:val="20"/>
                <w:szCs w:val="20"/>
              </w:rPr>
              <w:t>All of the</w:t>
            </w:r>
            <w:proofErr w:type="gramEnd"/>
            <w:r w:rsidRPr="00064E89">
              <w:rPr>
                <w:rFonts w:ascii="Calibri" w:hAnsi="Calibri"/>
                <w:sz w:val="20"/>
                <w:szCs w:val="20"/>
              </w:rPr>
              <w:t xml:space="preserve"> above, plus: All staff have been trained in the use of the policy and a process for tracking progress is instituted. </w:t>
            </w:r>
          </w:p>
        </w:tc>
      </w:tr>
      <w:tr w:rsidR="00A93F42" w:rsidRPr="00064E89" w14:paraId="5FC24E93" w14:textId="77777777" w:rsidTr="00A93F42">
        <w:tc>
          <w:tcPr>
            <w:tcW w:w="2635" w:type="dxa"/>
          </w:tcPr>
          <w:p w14:paraId="0074CF92" w14:textId="31083C76" w:rsidR="00A93F42" w:rsidRPr="00064E89" w:rsidRDefault="00A93F42" w:rsidP="006F7B0F">
            <w:pPr>
              <w:keepNext/>
              <w:rPr>
                <w:rFonts w:ascii="Calibri" w:hAnsi="Calibri"/>
                <w:sz w:val="20"/>
                <w:szCs w:val="20"/>
              </w:rPr>
            </w:pPr>
            <w:r w:rsidRPr="00064E89">
              <w:rPr>
                <w:rFonts w:ascii="Calibri" w:hAnsi="Calibri"/>
                <w:sz w:val="20"/>
                <w:szCs w:val="20"/>
              </w:rPr>
              <w:t>Chronic Pain Prescribing Policies for Opioids </w:t>
            </w:r>
          </w:p>
        </w:tc>
        <w:tc>
          <w:tcPr>
            <w:tcW w:w="2635" w:type="dxa"/>
          </w:tcPr>
          <w:p w14:paraId="1C4BD754" w14:textId="24044965" w:rsidR="00A93F42" w:rsidRPr="00064E89" w:rsidRDefault="00A93F42" w:rsidP="006F7B0F">
            <w:pPr>
              <w:keepNext/>
              <w:rPr>
                <w:rFonts w:ascii="Calibri" w:hAnsi="Calibri"/>
                <w:sz w:val="20"/>
                <w:szCs w:val="20"/>
              </w:rPr>
            </w:pPr>
          </w:p>
        </w:tc>
        <w:tc>
          <w:tcPr>
            <w:tcW w:w="2635" w:type="dxa"/>
          </w:tcPr>
          <w:p w14:paraId="24906957" w14:textId="538068F4" w:rsidR="00A93F42" w:rsidRPr="00064E89" w:rsidRDefault="00A93F42" w:rsidP="006F7B0F">
            <w:pPr>
              <w:keepNext/>
              <w:rPr>
                <w:rFonts w:ascii="Calibri" w:hAnsi="Calibri"/>
                <w:sz w:val="20"/>
                <w:szCs w:val="20"/>
              </w:rPr>
            </w:pPr>
          </w:p>
        </w:tc>
        <w:tc>
          <w:tcPr>
            <w:tcW w:w="2635" w:type="dxa"/>
          </w:tcPr>
          <w:p w14:paraId="5325F9F2" w14:textId="00473A80" w:rsidR="00A93F42" w:rsidRPr="00064E89" w:rsidRDefault="00A93F42" w:rsidP="006F7B0F">
            <w:pPr>
              <w:keepNext/>
              <w:rPr>
                <w:rFonts w:ascii="Calibri" w:hAnsi="Calibri"/>
                <w:sz w:val="20"/>
                <w:szCs w:val="20"/>
              </w:rPr>
            </w:pPr>
          </w:p>
        </w:tc>
        <w:tc>
          <w:tcPr>
            <w:tcW w:w="2636" w:type="dxa"/>
          </w:tcPr>
          <w:p w14:paraId="72F2981C" w14:textId="479BFC84" w:rsidR="00A93F42" w:rsidRPr="00064E89" w:rsidRDefault="00A93F42" w:rsidP="006F7B0F">
            <w:pPr>
              <w:keepNext/>
              <w:rPr>
                <w:rFonts w:ascii="Calibri" w:hAnsi="Calibri"/>
                <w:sz w:val="20"/>
                <w:szCs w:val="20"/>
              </w:rPr>
            </w:pPr>
          </w:p>
        </w:tc>
      </w:tr>
      <w:tr w:rsidR="00A93F42" w:rsidRPr="00064E89" w14:paraId="4F543C14" w14:textId="77777777" w:rsidTr="00A93F42">
        <w:tc>
          <w:tcPr>
            <w:tcW w:w="2635" w:type="dxa"/>
          </w:tcPr>
          <w:p w14:paraId="3C4D4687" w14:textId="349A5DB7" w:rsidR="00A93F42" w:rsidRPr="00064E89" w:rsidRDefault="00A93F42" w:rsidP="00A93F42">
            <w:pPr>
              <w:rPr>
                <w:rFonts w:ascii="Calibri" w:hAnsi="Calibri"/>
                <w:sz w:val="20"/>
                <w:szCs w:val="20"/>
              </w:rPr>
            </w:pPr>
          </w:p>
        </w:tc>
        <w:tc>
          <w:tcPr>
            <w:tcW w:w="2635" w:type="dxa"/>
          </w:tcPr>
          <w:p w14:paraId="7B977CCF" w14:textId="77777777" w:rsidR="00A93F42" w:rsidRPr="00064E89" w:rsidRDefault="00A93F42" w:rsidP="00A93F42">
            <w:pPr>
              <w:rPr>
                <w:rFonts w:ascii="Calibri" w:hAnsi="Calibri"/>
                <w:sz w:val="20"/>
                <w:szCs w:val="20"/>
              </w:rPr>
            </w:pPr>
            <w:r w:rsidRPr="00064E89">
              <w:rPr>
                <w:rFonts w:ascii="Calibri" w:hAnsi="Calibri"/>
                <w:sz w:val="20"/>
                <w:szCs w:val="20"/>
              </w:rPr>
              <w:t xml:space="preserve">Prescribing policies either do not exist or do not cover many prescribing situations. </w:t>
            </w:r>
          </w:p>
        </w:tc>
        <w:tc>
          <w:tcPr>
            <w:tcW w:w="2635" w:type="dxa"/>
          </w:tcPr>
          <w:p w14:paraId="7D9C143F" w14:textId="1AB28630" w:rsidR="00A93F42" w:rsidRPr="00064E89" w:rsidRDefault="00A93F42" w:rsidP="00A93F42">
            <w:pPr>
              <w:rPr>
                <w:rFonts w:ascii="Calibri" w:hAnsi="Calibri"/>
                <w:sz w:val="20"/>
                <w:szCs w:val="20"/>
              </w:rPr>
            </w:pPr>
            <w:r w:rsidRPr="00064E89">
              <w:rPr>
                <w:rFonts w:ascii="Calibri" w:hAnsi="Calibri"/>
                <w:sz w:val="20"/>
                <w:szCs w:val="20"/>
              </w:rPr>
              <w:t xml:space="preserve">Policies exist and are guided by best practices (CDC guidelines: fewer than 90 days; below 50 MED) and input from pharmacy and staff, but have not yet been implemented. </w:t>
            </w:r>
          </w:p>
        </w:tc>
        <w:tc>
          <w:tcPr>
            <w:tcW w:w="2635" w:type="dxa"/>
          </w:tcPr>
          <w:p w14:paraId="67C1A940" w14:textId="4DD29742" w:rsidR="00A93F42" w:rsidRPr="00064E89" w:rsidRDefault="00A93F42" w:rsidP="00A93F42">
            <w:pPr>
              <w:rPr>
                <w:rFonts w:ascii="Calibri" w:hAnsi="Calibri"/>
                <w:sz w:val="20"/>
                <w:szCs w:val="20"/>
              </w:rPr>
            </w:pPr>
            <w:proofErr w:type="gramStart"/>
            <w:r w:rsidRPr="00064E89">
              <w:rPr>
                <w:rFonts w:ascii="Calibri" w:hAnsi="Calibri"/>
                <w:sz w:val="20"/>
                <w:szCs w:val="20"/>
              </w:rPr>
              <w:t>All of the</w:t>
            </w:r>
            <w:proofErr w:type="gramEnd"/>
            <w:r w:rsidRPr="00064E89">
              <w:rPr>
                <w:rFonts w:ascii="Calibri" w:hAnsi="Calibri"/>
                <w:sz w:val="20"/>
                <w:szCs w:val="20"/>
              </w:rPr>
              <w:t xml:space="preserve"> above, plus policies have been implemented. Prescribers are aware of them, but there is no consistent mechanism to achieve compliance. </w:t>
            </w:r>
          </w:p>
        </w:tc>
        <w:tc>
          <w:tcPr>
            <w:tcW w:w="2636" w:type="dxa"/>
          </w:tcPr>
          <w:p w14:paraId="0B86D98A" w14:textId="2301A52E" w:rsidR="00A93F42" w:rsidRPr="00064E89" w:rsidRDefault="00A93F42" w:rsidP="00A93F42">
            <w:pPr>
              <w:rPr>
                <w:rFonts w:ascii="Calibri" w:hAnsi="Calibri"/>
                <w:sz w:val="20"/>
                <w:szCs w:val="20"/>
              </w:rPr>
            </w:pPr>
            <w:proofErr w:type="gramStart"/>
            <w:r w:rsidRPr="00064E89">
              <w:rPr>
                <w:rFonts w:ascii="Calibri" w:hAnsi="Calibri"/>
                <w:sz w:val="20"/>
                <w:szCs w:val="20"/>
              </w:rPr>
              <w:t>All of the</w:t>
            </w:r>
            <w:proofErr w:type="gramEnd"/>
            <w:r w:rsidRPr="00064E89">
              <w:rPr>
                <w:rFonts w:ascii="Calibri" w:hAnsi="Calibri"/>
                <w:sz w:val="20"/>
                <w:szCs w:val="20"/>
              </w:rPr>
              <w:t xml:space="preserve"> above, plus: Policies are well-defined and monitoring occurs monthly or quarterly. </w:t>
            </w:r>
          </w:p>
        </w:tc>
      </w:tr>
      <w:tr w:rsidR="00A93F42" w:rsidRPr="00064E89" w14:paraId="260048FB" w14:textId="77777777" w:rsidTr="00A93F42">
        <w:tc>
          <w:tcPr>
            <w:tcW w:w="2635" w:type="dxa"/>
          </w:tcPr>
          <w:p w14:paraId="6D91A6E7" w14:textId="2C3915EF" w:rsidR="00A93F42" w:rsidRPr="00064E89" w:rsidRDefault="00A93F42" w:rsidP="006F7B0F">
            <w:pPr>
              <w:keepNext/>
              <w:rPr>
                <w:rFonts w:ascii="Calibri" w:hAnsi="Calibri"/>
                <w:sz w:val="20"/>
                <w:szCs w:val="20"/>
              </w:rPr>
            </w:pPr>
            <w:r w:rsidRPr="00064E89">
              <w:rPr>
                <w:rFonts w:ascii="Calibri" w:hAnsi="Calibri"/>
                <w:sz w:val="20"/>
                <w:szCs w:val="20"/>
              </w:rPr>
              <w:t>Non-Opioid and Non-Pharmacological Therapies for Pain</w:t>
            </w:r>
          </w:p>
        </w:tc>
        <w:tc>
          <w:tcPr>
            <w:tcW w:w="2635" w:type="dxa"/>
          </w:tcPr>
          <w:p w14:paraId="07BCCB61" w14:textId="250B3124" w:rsidR="00A93F42" w:rsidRPr="00064E89" w:rsidRDefault="00A93F42" w:rsidP="006F7B0F">
            <w:pPr>
              <w:keepNext/>
              <w:rPr>
                <w:rFonts w:ascii="Calibri" w:hAnsi="Calibri"/>
                <w:sz w:val="20"/>
                <w:szCs w:val="20"/>
              </w:rPr>
            </w:pPr>
          </w:p>
        </w:tc>
        <w:tc>
          <w:tcPr>
            <w:tcW w:w="2635" w:type="dxa"/>
          </w:tcPr>
          <w:p w14:paraId="70D30B99" w14:textId="3968F836" w:rsidR="00A93F42" w:rsidRPr="00064E89" w:rsidRDefault="00A93F42" w:rsidP="006F7B0F">
            <w:pPr>
              <w:keepNext/>
              <w:rPr>
                <w:rFonts w:ascii="Calibri" w:hAnsi="Calibri"/>
                <w:sz w:val="20"/>
                <w:szCs w:val="20"/>
              </w:rPr>
            </w:pPr>
          </w:p>
        </w:tc>
        <w:tc>
          <w:tcPr>
            <w:tcW w:w="2635" w:type="dxa"/>
          </w:tcPr>
          <w:p w14:paraId="6B70D1BC" w14:textId="0B070A0F" w:rsidR="00A93F42" w:rsidRPr="00064E89" w:rsidRDefault="00A93F42" w:rsidP="006F7B0F">
            <w:pPr>
              <w:keepNext/>
              <w:rPr>
                <w:rFonts w:ascii="Calibri" w:hAnsi="Calibri"/>
                <w:sz w:val="20"/>
                <w:szCs w:val="20"/>
              </w:rPr>
            </w:pPr>
          </w:p>
        </w:tc>
        <w:tc>
          <w:tcPr>
            <w:tcW w:w="2636" w:type="dxa"/>
          </w:tcPr>
          <w:p w14:paraId="622AFB87" w14:textId="28199E25" w:rsidR="00A93F42" w:rsidRPr="00064E89" w:rsidRDefault="00A93F42" w:rsidP="006F7B0F">
            <w:pPr>
              <w:keepNext/>
              <w:rPr>
                <w:rFonts w:ascii="Calibri" w:hAnsi="Calibri"/>
                <w:sz w:val="20"/>
                <w:szCs w:val="20"/>
              </w:rPr>
            </w:pPr>
          </w:p>
        </w:tc>
      </w:tr>
      <w:tr w:rsidR="00A93F42" w:rsidRPr="00064E89" w14:paraId="2A3AA406" w14:textId="77777777" w:rsidTr="00A93F42">
        <w:tc>
          <w:tcPr>
            <w:tcW w:w="2635" w:type="dxa"/>
          </w:tcPr>
          <w:p w14:paraId="73FC7DFA" w14:textId="6E855481" w:rsidR="00A93F42" w:rsidRPr="00064E89" w:rsidRDefault="00A93F42" w:rsidP="00A93F42">
            <w:pPr>
              <w:rPr>
                <w:rFonts w:ascii="Calibri" w:hAnsi="Calibri"/>
                <w:sz w:val="20"/>
                <w:szCs w:val="20"/>
              </w:rPr>
            </w:pPr>
          </w:p>
        </w:tc>
        <w:tc>
          <w:tcPr>
            <w:tcW w:w="2635" w:type="dxa"/>
          </w:tcPr>
          <w:p w14:paraId="3879D3E3" w14:textId="75A3E5C6" w:rsidR="00A93F42" w:rsidRPr="00064E89" w:rsidRDefault="00A93F42" w:rsidP="00A93F42">
            <w:pPr>
              <w:rPr>
                <w:rFonts w:ascii="Calibri" w:hAnsi="Calibri"/>
                <w:sz w:val="20"/>
                <w:szCs w:val="20"/>
              </w:rPr>
            </w:pPr>
            <w:r w:rsidRPr="00064E89">
              <w:rPr>
                <w:rFonts w:ascii="Calibri" w:hAnsi="Calibri"/>
                <w:sz w:val="20"/>
                <w:szCs w:val="20"/>
              </w:rPr>
              <w:t xml:space="preserve">Policies do not exist and there is no reference list of non-opioid and non-pharmacological therapies. There is no list of authorized non-pharmacological treatments. </w:t>
            </w:r>
          </w:p>
        </w:tc>
        <w:tc>
          <w:tcPr>
            <w:tcW w:w="2635" w:type="dxa"/>
          </w:tcPr>
          <w:p w14:paraId="34C26CE1" w14:textId="77777777" w:rsidR="00A93F42" w:rsidRPr="00064E89" w:rsidRDefault="00A93F42" w:rsidP="00A93F42">
            <w:pPr>
              <w:rPr>
                <w:rFonts w:ascii="Calibri" w:hAnsi="Calibri"/>
                <w:sz w:val="20"/>
                <w:szCs w:val="20"/>
              </w:rPr>
            </w:pPr>
            <w:r w:rsidRPr="00064E89">
              <w:rPr>
                <w:rFonts w:ascii="Calibri" w:hAnsi="Calibri"/>
                <w:sz w:val="20"/>
                <w:szCs w:val="20"/>
              </w:rPr>
              <w:t xml:space="preserve">A list of non-opioid and non-pharmacological therapies has been circulated to all prescribers.  The providers have discussed barriers and proposed solutions. Preliminary list of authorized non-pharmacologic treatments is available. </w:t>
            </w:r>
          </w:p>
        </w:tc>
        <w:tc>
          <w:tcPr>
            <w:tcW w:w="2635" w:type="dxa"/>
          </w:tcPr>
          <w:p w14:paraId="21D7BD2C" w14:textId="2BB2E048" w:rsidR="00A93F42" w:rsidRPr="00064E89" w:rsidRDefault="00A93F42" w:rsidP="00A93F42">
            <w:pPr>
              <w:rPr>
                <w:rFonts w:ascii="Calibri" w:hAnsi="Calibri"/>
                <w:sz w:val="20"/>
                <w:szCs w:val="20"/>
              </w:rPr>
            </w:pPr>
            <w:proofErr w:type="gramStart"/>
            <w:r w:rsidRPr="00064E89">
              <w:rPr>
                <w:rFonts w:ascii="Calibri" w:hAnsi="Calibri"/>
                <w:sz w:val="20"/>
                <w:szCs w:val="20"/>
              </w:rPr>
              <w:t>All of the</w:t>
            </w:r>
            <w:proofErr w:type="gramEnd"/>
            <w:r w:rsidRPr="00064E89">
              <w:rPr>
                <w:rFonts w:ascii="Calibri" w:hAnsi="Calibri"/>
                <w:sz w:val="20"/>
                <w:szCs w:val="20"/>
              </w:rPr>
              <w:t xml:space="preserve"> above, plus: Policies are being developed. Model care plans using non-opioid and non-pharmacological therapies for pain are circulated between prescribers. Payer policies have been collected.  Most prescribers consistently recommend opioid alternatives. </w:t>
            </w:r>
          </w:p>
        </w:tc>
        <w:tc>
          <w:tcPr>
            <w:tcW w:w="2636" w:type="dxa"/>
          </w:tcPr>
          <w:p w14:paraId="6C80F4C2" w14:textId="77777777" w:rsidR="00A93F42" w:rsidRPr="00064E89" w:rsidRDefault="00A93F42" w:rsidP="00A93F42">
            <w:pPr>
              <w:rPr>
                <w:rFonts w:ascii="Calibri" w:hAnsi="Calibri"/>
                <w:sz w:val="20"/>
                <w:szCs w:val="20"/>
              </w:rPr>
            </w:pPr>
            <w:r w:rsidRPr="00064E89">
              <w:rPr>
                <w:rFonts w:ascii="Calibri" w:hAnsi="Calibri"/>
                <w:sz w:val="20"/>
                <w:szCs w:val="20"/>
              </w:rPr>
              <w:t xml:space="preserve">Policies are well-defined.  An updated list of payer authorized non-opioid and non-pharmacological treatments is circulated each month/quarter.  Care plans for all patients being treated for pain include non-opioid and non-pharmacological therapies. </w:t>
            </w:r>
          </w:p>
        </w:tc>
      </w:tr>
    </w:tbl>
    <w:p w14:paraId="26B3433D" w14:textId="77777777" w:rsidR="007B637B" w:rsidRPr="00064E89" w:rsidRDefault="007B637B" w:rsidP="00FE2B39">
      <w:pPr>
        <w:spacing w:line="240" w:lineRule="auto"/>
        <w:rPr>
          <w:rFonts w:ascii="Calibri" w:hAnsi="Calibri"/>
          <w:sz w:val="20"/>
          <w:szCs w:val="20"/>
        </w:rPr>
      </w:pPr>
    </w:p>
    <w:p w14:paraId="46273275" w14:textId="77777777" w:rsidR="008219CF" w:rsidRPr="00064E89" w:rsidRDefault="008219CF">
      <w:pPr>
        <w:rPr>
          <w:rFonts w:ascii="Calibri" w:hAnsi="Calibri"/>
        </w:rPr>
      </w:pPr>
      <w:r w:rsidRPr="00064E89">
        <w:rPr>
          <w:rFonts w:ascii="Calibri" w:hAnsi="Calibri"/>
        </w:rPr>
        <w:br w:type="page"/>
      </w:r>
    </w:p>
    <w:tbl>
      <w:tblPr>
        <w:tblStyle w:val="TableGrid"/>
        <w:tblW w:w="0" w:type="auto"/>
        <w:tblLook w:val="04A0" w:firstRow="1" w:lastRow="0" w:firstColumn="1" w:lastColumn="0" w:noHBand="0" w:noVBand="1"/>
      </w:tblPr>
      <w:tblGrid>
        <w:gridCol w:w="2635"/>
        <w:gridCol w:w="2635"/>
        <w:gridCol w:w="2635"/>
        <w:gridCol w:w="2635"/>
        <w:gridCol w:w="2636"/>
      </w:tblGrid>
      <w:tr w:rsidR="00A93F42" w:rsidRPr="00064E89" w14:paraId="7F5C4E0A" w14:textId="77777777" w:rsidTr="001704C5">
        <w:tc>
          <w:tcPr>
            <w:tcW w:w="2635" w:type="dxa"/>
          </w:tcPr>
          <w:p w14:paraId="68C78E4A" w14:textId="707485D8" w:rsidR="00A93F42" w:rsidRPr="00064E89" w:rsidRDefault="00A93F42" w:rsidP="007A7C0E">
            <w:pPr>
              <w:keepNext/>
              <w:rPr>
                <w:rFonts w:ascii="Calibri" w:hAnsi="Calibri"/>
                <w:sz w:val="20"/>
                <w:szCs w:val="20"/>
              </w:rPr>
            </w:pPr>
            <w:r w:rsidRPr="00064E89">
              <w:rPr>
                <w:rFonts w:ascii="Calibri" w:hAnsi="Calibri"/>
                <w:sz w:val="20"/>
                <w:szCs w:val="20"/>
              </w:rPr>
              <w:lastRenderedPageBreak/>
              <w:t>Co-Prescribing Benzodiazepines</w:t>
            </w:r>
          </w:p>
        </w:tc>
        <w:tc>
          <w:tcPr>
            <w:tcW w:w="2635" w:type="dxa"/>
          </w:tcPr>
          <w:p w14:paraId="4AAA9A47" w14:textId="413FAFAC" w:rsidR="00A93F42" w:rsidRPr="00064E89" w:rsidRDefault="00A93F42" w:rsidP="007A7C0E">
            <w:pPr>
              <w:keepNext/>
              <w:rPr>
                <w:rFonts w:ascii="Calibri" w:hAnsi="Calibri"/>
                <w:sz w:val="20"/>
                <w:szCs w:val="20"/>
              </w:rPr>
            </w:pPr>
          </w:p>
        </w:tc>
        <w:tc>
          <w:tcPr>
            <w:tcW w:w="2635" w:type="dxa"/>
          </w:tcPr>
          <w:p w14:paraId="0DED7721" w14:textId="43432B3B" w:rsidR="00A93F42" w:rsidRPr="00064E89" w:rsidRDefault="00A93F42" w:rsidP="007A7C0E">
            <w:pPr>
              <w:keepNext/>
              <w:rPr>
                <w:rFonts w:ascii="Calibri" w:hAnsi="Calibri"/>
                <w:sz w:val="20"/>
                <w:szCs w:val="20"/>
              </w:rPr>
            </w:pPr>
          </w:p>
        </w:tc>
        <w:tc>
          <w:tcPr>
            <w:tcW w:w="2635" w:type="dxa"/>
          </w:tcPr>
          <w:p w14:paraId="69FFDE97" w14:textId="02DE56CC" w:rsidR="00A93F42" w:rsidRPr="00064E89" w:rsidRDefault="00A93F42" w:rsidP="007A7C0E">
            <w:pPr>
              <w:keepNext/>
              <w:rPr>
                <w:rFonts w:ascii="Calibri" w:hAnsi="Calibri"/>
                <w:sz w:val="20"/>
                <w:szCs w:val="20"/>
              </w:rPr>
            </w:pPr>
          </w:p>
        </w:tc>
        <w:tc>
          <w:tcPr>
            <w:tcW w:w="2636" w:type="dxa"/>
          </w:tcPr>
          <w:p w14:paraId="180B2A23" w14:textId="26B473DA" w:rsidR="00A93F42" w:rsidRPr="00064E89" w:rsidRDefault="00A93F42" w:rsidP="007A7C0E">
            <w:pPr>
              <w:keepNext/>
              <w:rPr>
                <w:rFonts w:ascii="Calibri" w:hAnsi="Calibri"/>
                <w:sz w:val="20"/>
                <w:szCs w:val="20"/>
              </w:rPr>
            </w:pPr>
          </w:p>
        </w:tc>
      </w:tr>
      <w:tr w:rsidR="00A93F42" w:rsidRPr="00064E89" w14:paraId="1548BDB1" w14:textId="77777777" w:rsidTr="001704C5">
        <w:tc>
          <w:tcPr>
            <w:tcW w:w="2635" w:type="dxa"/>
          </w:tcPr>
          <w:p w14:paraId="132AC0DC" w14:textId="068E0D60" w:rsidR="00A93F42" w:rsidRPr="00064E89" w:rsidRDefault="00A93F42" w:rsidP="00A93F42">
            <w:pPr>
              <w:rPr>
                <w:rFonts w:ascii="Calibri" w:hAnsi="Calibri"/>
                <w:sz w:val="20"/>
                <w:szCs w:val="20"/>
              </w:rPr>
            </w:pPr>
          </w:p>
        </w:tc>
        <w:tc>
          <w:tcPr>
            <w:tcW w:w="2635" w:type="dxa"/>
          </w:tcPr>
          <w:p w14:paraId="6A3568B3" w14:textId="77777777" w:rsidR="00A93F42" w:rsidRPr="00064E89" w:rsidRDefault="00A93F42" w:rsidP="00A93F42">
            <w:pPr>
              <w:rPr>
                <w:rFonts w:ascii="Calibri" w:hAnsi="Calibri"/>
                <w:sz w:val="20"/>
                <w:szCs w:val="20"/>
              </w:rPr>
            </w:pPr>
            <w:r w:rsidRPr="00064E89">
              <w:rPr>
                <w:rFonts w:ascii="Calibri" w:hAnsi="Calibri"/>
                <w:sz w:val="20"/>
                <w:szCs w:val="20"/>
              </w:rPr>
              <w:t xml:space="preserve">Policies do not exist.  Prescribers and care-team do not consistently check for co-prescribed sedatives. </w:t>
            </w:r>
          </w:p>
        </w:tc>
        <w:tc>
          <w:tcPr>
            <w:tcW w:w="2635" w:type="dxa"/>
          </w:tcPr>
          <w:p w14:paraId="1DFE7E62" w14:textId="176A1CC8" w:rsidR="00A93F42" w:rsidRPr="00064E89" w:rsidRDefault="00A93F42" w:rsidP="00A93F42">
            <w:pPr>
              <w:rPr>
                <w:rFonts w:ascii="Calibri" w:hAnsi="Calibri"/>
                <w:sz w:val="20"/>
                <w:szCs w:val="20"/>
              </w:rPr>
            </w:pPr>
            <w:r w:rsidRPr="00064E89">
              <w:rPr>
                <w:rFonts w:ascii="Calibri" w:hAnsi="Calibri"/>
                <w:sz w:val="20"/>
                <w:szCs w:val="20"/>
              </w:rPr>
              <w:t xml:space="preserve">Mechanisms for identifying co-prescribed sedatives have been created, but use is inconsistent. </w:t>
            </w:r>
          </w:p>
        </w:tc>
        <w:tc>
          <w:tcPr>
            <w:tcW w:w="2635" w:type="dxa"/>
          </w:tcPr>
          <w:p w14:paraId="474349E5" w14:textId="5CDEF0B5" w:rsidR="00A93F42" w:rsidRPr="00064E89" w:rsidRDefault="00A93F42" w:rsidP="00A93F42">
            <w:pPr>
              <w:rPr>
                <w:rFonts w:ascii="Calibri" w:hAnsi="Calibri"/>
                <w:sz w:val="20"/>
                <w:szCs w:val="20"/>
              </w:rPr>
            </w:pPr>
            <w:r w:rsidRPr="00064E89">
              <w:rPr>
                <w:rFonts w:ascii="Calibri" w:hAnsi="Calibri"/>
                <w:sz w:val="20"/>
                <w:szCs w:val="20"/>
              </w:rPr>
              <w:t xml:space="preserve">Prescribers and care teams understand and identify at risk patients.  Patients are being tapered off opioids and/or sedatives (including those prescribed by mental health) according to developed policies. </w:t>
            </w:r>
          </w:p>
        </w:tc>
        <w:tc>
          <w:tcPr>
            <w:tcW w:w="2636" w:type="dxa"/>
          </w:tcPr>
          <w:p w14:paraId="7B76BD4A" w14:textId="5304B052" w:rsidR="00A93F42" w:rsidRPr="00064E89" w:rsidRDefault="00A93F42" w:rsidP="00A93F42">
            <w:pPr>
              <w:rPr>
                <w:rFonts w:ascii="Calibri" w:hAnsi="Calibri"/>
                <w:sz w:val="20"/>
                <w:szCs w:val="20"/>
              </w:rPr>
            </w:pPr>
            <w:proofErr w:type="gramStart"/>
            <w:r w:rsidRPr="00064E89">
              <w:rPr>
                <w:rFonts w:ascii="Calibri" w:hAnsi="Calibri"/>
                <w:sz w:val="20"/>
                <w:szCs w:val="20"/>
              </w:rPr>
              <w:t>All of the</w:t>
            </w:r>
            <w:proofErr w:type="gramEnd"/>
            <w:r w:rsidRPr="00064E89">
              <w:rPr>
                <w:rFonts w:ascii="Calibri" w:hAnsi="Calibri"/>
                <w:sz w:val="20"/>
                <w:szCs w:val="20"/>
              </w:rPr>
              <w:t xml:space="preserve"> above, plus: Policies are well-defined.  Co-prescribing is systematically monitored and patients with co-prescribed sedatives are tapered. Psycho-pharmacology consultation is an established part of managing difficult patients. </w:t>
            </w:r>
          </w:p>
        </w:tc>
      </w:tr>
      <w:tr w:rsidR="00A93F42" w:rsidRPr="00064E89" w14:paraId="153BE85C" w14:textId="77777777" w:rsidTr="001704C5">
        <w:tc>
          <w:tcPr>
            <w:tcW w:w="2635" w:type="dxa"/>
          </w:tcPr>
          <w:p w14:paraId="22A1E1E1" w14:textId="75ED1C8B" w:rsidR="00A93F42" w:rsidRPr="00064E89" w:rsidRDefault="00A93F42" w:rsidP="007A7C0E">
            <w:pPr>
              <w:keepNext/>
              <w:rPr>
                <w:rFonts w:ascii="Calibri" w:hAnsi="Calibri"/>
                <w:sz w:val="20"/>
                <w:szCs w:val="20"/>
              </w:rPr>
            </w:pPr>
            <w:r w:rsidRPr="00064E89">
              <w:rPr>
                <w:rFonts w:ascii="Calibri" w:hAnsi="Calibri"/>
                <w:sz w:val="20"/>
                <w:szCs w:val="20"/>
              </w:rPr>
              <w:t>Urine Drug Screening (UDS)</w:t>
            </w:r>
          </w:p>
        </w:tc>
        <w:tc>
          <w:tcPr>
            <w:tcW w:w="2635" w:type="dxa"/>
          </w:tcPr>
          <w:p w14:paraId="37633F84" w14:textId="246CE9C6" w:rsidR="00A93F42" w:rsidRPr="00064E89" w:rsidRDefault="00A93F42" w:rsidP="007A7C0E">
            <w:pPr>
              <w:keepNext/>
              <w:rPr>
                <w:rFonts w:ascii="Calibri" w:hAnsi="Calibri"/>
                <w:sz w:val="20"/>
                <w:szCs w:val="20"/>
              </w:rPr>
            </w:pPr>
          </w:p>
        </w:tc>
        <w:tc>
          <w:tcPr>
            <w:tcW w:w="2635" w:type="dxa"/>
          </w:tcPr>
          <w:p w14:paraId="75888F6E" w14:textId="01510C5A" w:rsidR="00A93F42" w:rsidRPr="00064E89" w:rsidRDefault="00A93F42" w:rsidP="007A7C0E">
            <w:pPr>
              <w:keepNext/>
              <w:rPr>
                <w:rFonts w:ascii="Calibri" w:hAnsi="Calibri"/>
                <w:sz w:val="20"/>
                <w:szCs w:val="20"/>
              </w:rPr>
            </w:pPr>
          </w:p>
        </w:tc>
        <w:tc>
          <w:tcPr>
            <w:tcW w:w="2635" w:type="dxa"/>
          </w:tcPr>
          <w:p w14:paraId="12F35F0F" w14:textId="1D538DBF" w:rsidR="00A93F42" w:rsidRPr="00064E89" w:rsidRDefault="00A93F42" w:rsidP="007A7C0E">
            <w:pPr>
              <w:keepNext/>
              <w:rPr>
                <w:rFonts w:ascii="Calibri" w:hAnsi="Calibri"/>
                <w:sz w:val="20"/>
                <w:szCs w:val="20"/>
              </w:rPr>
            </w:pPr>
          </w:p>
        </w:tc>
        <w:tc>
          <w:tcPr>
            <w:tcW w:w="2636" w:type="dxa"/>
          </w:tcPr>
          <w:p w14:paraId="1D926BBD" w14:textId="2971A2F1" w:rsidR="00A93F42" w:rsidRPr="00064E89" w:rsidRDefault="00A93F42" w:rsidP="007A7C0E">
            <w:pPr>
              <w:keepNext/>
              <w:rPr>
                <w:rFonts w:ascii="Calibri" w:hAnsi="Calibri"/>
                <w:sz w:val="20"/>
                <w:szCs w:val="20"/>
              </w:rPr>
            </w:pPr>
          </w:p>
        </w:tc>
      </w:tr>
      <w:tr w:rsidR="00A93F42" w:rsidRPr="00064E89" w14:paraId="04841F4F" w14:textId="77777777" w:rsidTr="001704C5">
        <w:tc>
          <w:tcPr>
            <w:tcW w:w="2635" w:type="dxa"/>
          </w:tcPr>
          <w:p w14:paraId="364DDBD4" w14:textId="0D9128DF" w:rsidR="00A93F42" w:rsidRPr="00064E89" w:rsidRDefault="00A93F42" w:rsidP="00A93F42">
            <w:pPr>
              <w:rPr>
                <w:rFonts w:ascii="Calibri" w:hAnsi="Calibri"/>
                <w:sz w:val="20"/>
                <w:szCs w:val="20"/>
              </w:rPr>
            </w:pPr>
          </w:p>
        </w:tc>
        <w:tc>
          <w:tcPr>
            <w:tcW w:w="2635" w:type="dxa"/>
          </w:tcPr>
          <w:p w14:paraId="63F715A7" w14:textId="14D99B97" w:rsidR="00A93F42" w:rsidRPr="00064E89" w:rsidRDefault="00A93F42" w:rsidP="00A93F42">
            <w:pPr>
              <w:rPr>
                <w:rFonts w:ascii="Calibri" w:hAnsi="Calibri"/>
                <w:sz w:val="20"/>
                <w:szCs w:val="20"/>
              </w:rPr>
            </w:pPr>
            <w:r w:rsidRPr="00064E89">
              <w:rPr>
                <w:rFonts w:ascii="Calibri" w:hAnsi="Calibri"/>
                <w:sz w:val="20"/>
                <w:szCs w:val="20"/>
              </w:rPr>
              <w:t xml:space="preserve">Policies regarding UDS for patients on opioids do not exist. </w:t>
            </w:r>
          </w:p>
        </w:tc>
        <w:tc>
          <w:tcPr>
            <w:tcW w:w="2635" w:type="dxa"/>
          </w:tcPr>
          <w:p w14:paraId="19068601" w14:textId="5FE05EED" w:rsidR="00A93F42" w:rsidRPr="00064E89" w:rsidRDefault="00A93F42" w:rsidP="00A93F42">
            <w:pPr>
              <w:rPr>
                <w:rFonts w:ascii="Calibri" w:hAnsi="Calibri"/>
                <w:sz w:val="20"/>
                <w:szCs w:val="20"/>
              </w:rPr>
            </w:pPr>
            <w:r w:rsidRPr="00064E89">
              <w:rPr>
                <w:rFonts w:ascii="Calibri" w:hAnsi="Calibri"/>
                <w:sz w:val="20"/>
                <w:szCs w:val="20"/>
              </w:rPr>
              <w:t xml:space="preserve">The clinic has agreed on a UDS policy and regular testing intervals, but screenings are inconsistently ordered. </w:t>
            </w:r>
          </w:p>
        </w:tc>
        <w:tc>
          <w:tcPr>
            <w:tcW w:w="2635" w:type="dxa"/>
          </w:tcPr>
          <w:p w14:paraId="2A4FA224" w14:textId="781910C8" w:rsidR="00A93F42" w:rsidRPr="00064E89" w:rsidRDefault="00A93F42" w:rsidP="00A93F42">
            <w:pPr>
              <w:rPr>
                <w:rFonts w:ascii="Calibri" w:hAnsi="Calibri"/>
                <w:sz w:val="20"/>
                <w:szCs w:val="20"/>
              </w:rPr>
            </w:pPr>
            <w:r w:rsidRPr="00064E89">
              <w:rPr>
                <w:rFonts w:ascii="Calibri" w:hAnsi="Calibri"/>
                <w:sz w:val="20"/>
                <w:szCs w:val="20"/>
              </w:rPr>
              <w:t xml:space="preserve">Screenings are ordered for all patients on opioids at regular intervals, but positive screens are inconsistently acted upon. </w:t>
            </w:r>
          </w:p>
        </w:tc>
        <w:tc>
          <w:tcPr>
            <w:tcW w:w="2636" w:type="dxa"/>
          </w:tcPr>
          <w:p w14:paraId="4C0C0762" w14:textId="7F4176FA" w:rsidR="00A93F42" w:rsidRPr="00064E89" w:rsidRDefault="00A93F42" w:rsidP="00A93F42">
            <w:pPr>
              <w:rPr>
                <w:rFonts w:ascii="Calibri" w:hAnsi="Calibri"/>
                <w:sz w:val="20"/>
                <w:szCs w:val="20"/>
              </w:rPr>
            </w:pPr>
            <w:r w:rsidRPr="00064E89">
              <w:rPr>
                <w:rFonts w:ascii="Calibri" w:hAnsi="Calibri"/>
                <w:sz w:val="20"/>
                <w:szCs w:val="20"/>
              </w:rPr>
              <w:t xml:space="preserve">Screenings are ordered for all patients on opioids at regular intervals. Actions for positive screens are defined and followed. </w:t>
            </w:r>
          </w:p>
        </w:tc>
      </w:tr>
      <w:tr w:rsidR="00A93F42" w:rsidRPr="00064E89" w14:paraId="4ECAADAD" w14:textId="77777777" w:rsidTr="001704C5">
        <w:tc>
          <w:tcPr>
            <w:tcW w:w="2635" w:type="dxa"/>
          </w:tcPr>
          <w:p w14:paraId="5BB1D1F8" w14:textId="285A05DC" w:rsidR="00A93F42" w:rsidRPr="00064E89" w:rsidRDefault="00A93F42" w:rsidP="007A7C0E">
            <w:pPr>
              <w:keepNext/>
              <w:rPr>
                <w:rFonts w:ascii="Calibri" w:hAnsi="Calibri"/>
                <w:sz w:val="20"/>
                <w:szCs w:val="20"/>
              </w:rPr>
            </w:pPr>
            <w:r w:rsidRPr="00064E89">
              <w:rPr>
                <w:rFonts w:ascii="Calibri" w:hAnsi="Calibri"/>
                <w:sz w:val="20"/>
                <w:szCs w:val="20"/>
              </w:rPr>
              <w:t>Prescription Drug Monitoring Program (PDMP)</w:t>
            </w:r>
          </w:p>
        </w:tc>
        <w:tc>
          <w:tcPr>
            <w:tcW w:w="2635" w:type="dxa"/>
          </w:tcPr>
          <w:p w14:paraId="4FD100BE" w14:textId="209F83BE" w:rsidR="00A93F42" w:rsidRPr="00064E89" w:rsidRDefault="00A93F42" w:rsidP="007A7C0E">
            <w:pPr>
              <w:keepNext/>
              <w:rPr>
                <w:rFonts w:ascii="Calibri" w:hAnsi="Calibri"/>
                <w:sz w:val="20"/>
                <w:szCs w:val="20"/>
              </w:rPr>
            </w:pPr>
          </w:p>
        </w:tc>
        <w:tc>
          <w:tcPr>
            <w:tcW w:w="2635" w:type="dxa"/>
          </w:tcPr>
          <w:p w14:paraId="20165736" w14:textId="228DDA0E" w:rsidR="00A93F42" w:rsidRPr="00064E89" w:rsidRDefault="00A93F42" w:rsidP="007A7C0E">
            <w:pPr>
              <w:keepNext/>
              <w:rPr>
                <w:rFonts w:ascii="Calibri" w:hAnsi="Calibri"/>
                <w:sz w:val="20"/>
                <w:szCs w:val="20"/>
              </w:rPr>
            </w:pPr>
          </w:p>
        </w:tc>
        <w:tc>
          <w:tcPr>
            <w:tcW w:w="2635" w:type="dxa"/>
          </w:tcPr>
          <w:p w14:paraId="141C7276" w14:textId="36F3103F" w:rsidR="00A93F42" w:rsidRPr="00064E89" w:rsidRDefault="00A93F42" w:rsidP="007A7C0E">
            <w:pPr>
              <w:keepNext/>
              <w:rPr>
                <w:rFonts w:ascii="Calibri" w:hAnsi="Calibri"/>
                <w:sz w:val="20"/>
                <w:szCs w:val="20"/>
              </w:rPr>
            </w:pPr>
          </w:p>
        </w:tc>
        <w:tc>
          <w:tcPr>
            <w:tcW w:w="2636" w:type="dxa"/>
          </w:tcPr>
          <w:p w14:paraId="225FC30E" w14:textId="25C30D77" w:rsidR="00A93F42" w:rsidRPr="00064E89" w:rsidRDefault="00A93F42" w:rsidP="007A7C0E">
            <w:pPr>
              <w:keepNext/>
              <w:rPr>
                <w:rFonts w:ascii="Calibri" w:hAnsi="Calibri"/>
                <w:sz w:val="20"/>
                <w:szCs w:val="20"/>
              </w:rPr>
            </w:pPr>
          </w:p>
        </w:tc>
      </w:tr>
      <w:tr w:rsidR="00A93F42" w:rsidRPr="00064E89" w14:paraId="22DA0C9F" w14:textId="77777777" w:rsidTr="001704C5">
        <w:tc>
          <w:tcPr>
            <w:tcW w:w="2635" w:type="dxa"/>
          </w:tcPr>
          <w:p w14:paraId="5075AB86" w14:textId="03690E3E" w:rsidR="00A93F42" w:rsidRPr="00064E89" w:rsidRDefault="00A93F42" w:rsidP="00A93F42">
            <w:pPr>
              <w:rPr>
                <w:rFonts w:ascii="Calibri" w:hAnsi="Calibri"/>
                <w:sz w:val="20"/>
                <w:szCs w:val="20"/>
              </w:rPr>
            </w:pPr>
          </w:p>
        </w:tc>
        <w:tc>
          <w:tcPr>
            <w:tcW w:w="2635" w:type="dxa"/>
          </w:tcPr>
          <w:p w14:paraId="4D42202D" w14:textId="77777777" w:rsidR="00A93F42" w:rsidRPr="00064E89" w:rsidRDefault="00A93F42" w:rsidP="00A93F42">
            <w:pPr>
              <w:rPr>
                <w:rFonts w:ascii="Calibri" w:hAnsi="Calibri"/>
                <w:sz w:val="20"/>
                <w:szCs w:val="20"/>
              </w:rPr>
            </w:pPr>
            <w:r w:rsidRPr="00064E89">
              <w:rPr>
                <w:rFonts w:ascii="Calibri" w:hAnsi="Calibri"/>
                <w:sz w:val="20"/>
                <w:szCs w:val="20"/>
              </w:rPr>
              <w:t xml:space="preserve">Policy does not exist for use of the PDMP. </w:t>
            </w:r>
          </w:p>
        </w:tc>
        <w:tc>
          <w:tcPr>
            <w:tcW w:w="2635" w:type="dxa"/>
          </w:tcPr>
          <w:p w14:paraId="34645A13" w14:textId="45F7450A" w:rsidR="00A93F42" w:rsidRPr="00064E89" w:rsidRDefault="00A93F42" w:rsidP="00A93F42">
            <w:pPr>
              <w:rPr>
                <w:rFonts w:ascii="Calibri" w:hAnsi="Calibri"/>
                <w:sz w:val="20"/>
                <w:szCs w:val="20"/>
              </w:rPr>
            </w:pPr>
            <w:r w:rsidRPr="00064E89">
              <w:rPr>
                <w:rFonts w:ascii="Calibri" w:hAnsi="Calibri"/>
                <w:sz w:val="20"/>
                <w:szCs w:val="20"/>
              </w:rPr>
              <w:t xml:space="preserve">The clinic has agreed on a policy for prescribers and their delegates to register for the PDMP and check the level of prescribed controlled substances at defined intervals, but the policy is inconsistently followed. </w:t>
            </w:r>
          </w:p>
        </w:tc>
        <w:tc>
          <w:tcPr>
            <w:tcW w:w="2635" w:type="dxa"/>
          </w:tcPr>
          <w:p w14:paraId="08E069D7" w14:textId="208B9DDF" w:rsidR="00A93F42" w:rsidRPr="00064E89" w:rsidRDefault="00A93F42" w:rsidP="00A93F42">
            <w:pPr>
              <w:rPr>
                <w:rFonts w:ascii="Calibri" w:hAnsi="Calibri"/>
                <w:sz w:val="20"/>
                <w:szCs w:val="20"/>
              </w:rPr>
            </w:pPr>
            <w:r w:rsidRPr="00064E89">
              <w:rPr>
                <w:rFonts w:ascii="Calibri" w:hAnsi="Calibri"/>
                <w:sz w:val="20"/>
                <w:szCs w:val="20"/>
              </w:rPr>
              <w:t xml:space="preserve">The clinic has an agreed upon policy, and is actively working to implement. Unregistered prescribers are identified and scheduled to register, but the PDMP is inconsistent checked. </w:t>
            </w:r>
          </w:p>
        </w:tc>
        <w:tc>
          <w:tcPr>
            <w:tcW w:w="2636" w:type="dxa"/>
          </w:tcPr>
          <w:p w14:paraId="244915E7" w14:textId="673AC2FE" w:rsidR="00A93F42" w:rsidRPr="00064E89" w:rsidRDefault="00A93F42" w:rsidP="00A93F42">
            <w:pPr>
              <w:rPr>
                <w:rFonts w:ascii="Calibri" w:hAnsi="Calibri"/>
                <w:sz w:val="20"/>
                <w:szCs w:val="20"/>
              </w:rPr>
            </w:pPr>
            <w:proofErr w:type="gramStart"/>
            <w:r w:rsidRPr="00064E89">
              <w:rPr>
                <w:rFonts w:ascii="Calibri" w:hAnsi="Calibri"/>
                <w:sz w:val="20"/>
                <w:szCs w:val="20"/>
              </w:rPr>
              <w:t>All of the</w:t>
            </w:r>
            <w:proofErr w:type="gramEnd"/>
            <w:r w:rsidRPr="00064E89">
              <w:rPr>
                <w:rFonts w:ascii="Calibri" w:hAnsi="Calibri"/>
                <w:sz w:val="20"/>
                <w:szCs w:val="20"/>
              </w:rPr>
              <w:t xml:space="preserve"> above, plus: All prescribers or their delegates consult the PDMP for every new controlled substance prescription and periodically for continuing prescriptions. </w:t>
            </w:r>
            <w:r w:rsidRPr="00064E89">
              <w:rPr>
                <w:rFonts w:ascii="Calibri" w:hAnsi="Calibri"/>
                <w:sz w:val="20"/>
                <w:szCs w:val="20"/>
              </w:rPr>
              <w:t xml:space="preserve">All prescribers of controlled substances have registered with the PDMP. </w:t>
            </w:r>
          </w:p>
        </w:tc>
      </w:tr>
      <w:tr w:rsidR="001704C5" w:rsidRPr="00064E89" w14:paraId="58E57A2B" w14:textId="77777777" w:rsidTr="001704C5">
        <w:tc>
          <w:tcPr>
            <w:tcW w:w="2635" w:type="dxa"/>
          </w:tcPr>
          <w:p w14:paraId="2222F11A" w14:textId="3CBBC3C1" w:rsidR="001704C5" w:rsidRPr="00064E89" w:rsidRDefault="001704C5" w:rsidP="00483E69">
            <w:pPr>
              <w:keepNext/>
              <w:rPr>
                <w:rFonts w:ascii="Calibri" w:hAnsi="Calibri"/>
                <w:sz w:val="20"/>
                <w:szCs w:val="20"/>
              </w:rPr>
            </w:pPr>
            <w:r w:rsidRPr="00064E89">
              <w:rPr>
                <w:rFonts w:ascii="Calibri" w:hAnsi="Calibri"/>
                <w:sz w:val="20"/>
                <w:szCs w:val="20"/>
              </w:rPr>
              <w:lastRenderedPageBreak/>
              <w:t>Treatment Agreements </w:t>
            </w:r>
          </w:p>
        </w:tc>
        <w:tc>
          <w:tcPr>
            <w:tcW w:w="2635" w:type="dxa"/>
          </w:tcPr>
          <w:p w14:paraId="318834E8" w14:textId="0A51873A" w:rsidR="001704C5" w:rsidRPr="00064E89" w:rsidRDefault="001704C5" w:rsidP="00483E69">
            <w:pPr>
              <w:keepNext/>
              <w:rPr>
                <w:rFonts w:ascii="Calibri" w:hAnsi="Calibri"/>
                <w:sz w:val="20"/>
                <w:szCs w:val="20"/>
              </w:rPr>
            </w:pPr>
          </w:p>
        </w:tc>
        <w:tc>
          <w:tcPr>
            <w:tcW w:w="2635" w:type="dxa"/>
          </w:tcPr>
          <w:p w14:paraId="5162868A" w14:textId="74BD73D0" w:rsidR="001704C5" w:rsidRPr="00064E89" w:rsidRDefault="001704C5" w:rsidP="00483E69">
            <w:pPr>
              <w:keepNext/>
              <w:rPr>
                <w:rFonts w:ascii="Calibri" w:hAnsi="Calibri"/>
                <w:sz w:val="20"/>
                <w:szCs w:val="20"/>
              </w:rPr>
            </w:pPr>
          </w:p>
        </w:tc>
        <w:tc>
          <w:tcPr>
            <w:tcW w:w="2635" w:type="dxa"/>
          </w:tcPr>
          <w:p w14:paraId="4BD0494E" w14:textId="2310F829" w:rsidR="001704C5" w:rsidRPr="00064E89" w:rsidRDefault="001704C5" w:rsidP="00483E69">
            <w:pPr>
              <w:keepNext/>
              <w:rPr>
                <w:rFonts w:ascii="Calibri" w:hAnsi="Calibri"/>
                <w:sz w:val="20"/>
                <w:szCs w:val="20"/>
              </w:rPr>
            </w:pPr>
          </w:p>
        </w:tc>
        <w:tc>
          <w:tcPr>
            <w:tcW w:w="2636" w:type="dxa"/>
          </w:tcPr>
          <w:p w14:paraId="109901C4" w14:textId="5D0D11A3" w:rsidR="001704C5" w:rsidRPr="00064E89" w:rsidRDefault="001704C5" w:rsidP="00483E69">
            <w:pPr>
              <w:keepNext/>
              <w:rPr>
                <w:rFonts w:ascii="Calibri" w:hAnsi="Calibri"/>
                <w:sz w:val="20"/>
                <w:szCs w:val="20"/>
              </w:rPr>
            </w:pPr>
          </w:p>
        </w:tc>
      </w:tr>
      <w:tr w:rsidR="001704C5" w:rsidRPr="00064E89" w14:paraId="3A6C7149" w14:textId="77777777" w:rsidTr="001704C5">
        <w:tc>
          <w:tcPr>
            <w:tcW w:w="2635" w:type="dxa"/>
          </w:tcPr>
          <w:p w14:paraId="768CA5C6" w14:textId="6EF04D17" w:rsidR="001704C5" w:rsidRPr="00064E89" w:rsidRDefault="001704C5" w:rsidP="001704C5">
            <w:pPr>
              <w:keepNext/>
              <w:rPr>
                <w:rFonts w:ascii="Calibri" w:hAnsi="Calibri"/>
                <w:sz w:val="20"/>
                <w:szCs w:val="20"/>
              </w:rPr>
            </w:pPr>
          </w:p>
        </w:tc>
        <w:tc>
          <w:tcPr>
            <w:tcW w:w="2635" w:type="dxa"/>
          </w:tcPr>
          <w:p w14:paraId="0CC09B30" w14:textId="77777777" w:rsidR="001704C5" w:rsidRPr="00064E89" w:rsidRDefault="001704C5" w:rsidP="001704C5">
            <w:pPr>
              <w:keepNext/>
              <w:rPr>
                <w:rFonts w:ascii="Calibri" w:hAnsi="Calibri"/>
                <w:sz w:val="20"/>
                <w:szCs w:val="20"/>
              </w:rPr>
            </w:pPr>
            <w:r w:rsidRPr="00064E89">
              <w:rPr>
                <w:rFonts w:ascii="Calibri" w:hAnsi="Calibri"/>
                <w:sz w:val="20"/>
                <w:szCs w:val="20"/>
              </w:rPr>
              <w:t xml:space="preserve">Treatment agreements/Material risk notices do not exist or are not used consistently. </w:t>
            </w:r>
          </w:p>
        </w:tc>
        <w:tc>
          <w:tcPr>
            <w:tcW w:w="2635" w:type="dxa"/>
          </w:tcPr>
          <w:p w14:paraId="540E3676" w14:textId="0FDD200F" w:rsidR="001704C5" w:rsidRPr="00064E89" w:rsidRDefault="001704C5" w:rsidP="001704C5">
            <w:pPr>
              <w:keepNext/>
              <w:rPr>
                <w:rFonts w:ascii="Calibri" w:hAnsi="Calibri"/>
                <w:sz w:val="20"/>
                <w:szCs w:val="20"/>
              </w:rPr>
            </w:pPr>
            <w:r w:rsidRPr="00064E89">
              <w:rPr>
                <w:rFonts w:ascii="Calibri" w:hAnsi="Calibri"/>
                <w:sz w:val="20"/>
                <w:szCs w:val="20"/>
              </w:rPr>
              <w:t xml:space="preserve">A standard treatment agreement and material risk notices are key components of patient education about opioid risks and patient responsibilities. Patient and provider expectations are both included in the agreement. Clinic policy requires that all patients on opioids must sign it. </w:t>
            </w:r>
          </w:p>
        </w:tc>
        <w:tc>
          <w:tcPr>
            <w:tcW w:w="2635" w:type="dxa"/>
          </w:tcPr>
          <w:p w14:paraId="443F21E2" w14:textId="11E1198D" w:rsidR="001704C5" w:rsidRPr="00064E89" w:rsidRDefault="001704C5" w:rsidP="001704C5">
            <w:pPr>
              <w:keepNext/>
              <w:rPr>
                <w:rFonts w:ascii="Calibri" w:hAnsi="Calibri"/>
                <w:sz w:val="20"/>
                <w:szCs w:val="20"/>
              </w:rPr>
            </w:pPr>
            <w:proofErr w:type="gramStart"/>
            <w:r w:rsidRPr="00064E89">
              <w:rPr>
                <w:rFonts w:ascii="Calibri" w:hAnsi="Calibri"/>
                <w:szCs w:val="20"/>
              </w:rPr>
              <w:t>All of the</w:t>
            </w:r>
            <w:proofErr w:type="gramEnd"/>
            <w:r w:rsidRPr="00064E89">
              <w:rPr>
                <w:rFonts w:ascii="Calibri" w:hAnsi="Calibri"/>
                <w:szCs w:val="20"/>
              </w:rPr>
              <w:t xml:space="preserve"> above, plus: A process for all new patients on opioids to review and sign the agreement</w:t>
            </w:r>
            <w:r w:rsidRPr="00064E89">
              <w:rPr>
                <w:rFonts w:ascii="Calibri" w:hAnsi="Calibri"/>
                <w:sz w:val="20"/>
                <w:szCs w:val="20"/>
              </w:rPr>
              <w:t xml:space="preserve"> is in place. </w:t>
            </w:r>
          </w:p>
        </w:tc>
        <w:tc>
          <w:tcPr>
            <w:tcW w:w="2636" w:type="dxa"/>
          </w:tcPr>
          <w:p w14:paraId="4503B611" w14:textId="7DE47600" w:rsidR="001704C5" w:rsidRPr="00064E89" w:rsidRDefault="001704C5" w:rsidP="001704C5">
            <w:pPr>
              <w:keepNext/>
              <w:rPr>
                <w:rFonts w:ascii="Calibri" w:hAnsi="Calibri"/>
                <w:sz w:val="20"/>
                <w:szCs w:val="20"/>
              </w:rPr>
            </w:pPr>
            <w:r w:rsidRPr="00064E89">
              <w:rPr>
                <w:rFonts w:ascii="Calibri" w:hAnsi="Calibri"/>
                <w:sz w:val="20"/>
                <w:szCs w:val="20"/>
              </w:rPr>
              <w:t xml:space="preserve">Treatment agreements have been signed by every patient on opioids.  A separate OMB Material Risk form is attached to ALL treatment </w:t>
            </w:r>
            <w:proofErr w:type="gramStart"/>
            <w:r w:rsidRPr="00064E89">
              <w:rPr>
                <w:rFonts w:ascii="Calibri" w:hAnsi="Calibri"/>
                <w:sz w:val="20"/>
                <w:szCs w:val="20"/>
              </w:rPr>
              <w:t>agreements  for</w:t>
            </w:r>
            <w:proofErr w:type="gramEnd"/>
            <w:r w:rsidRPr="00064E89">
              <w:rPr>
                <w:rFonts w:ascii="Calibri" w:hAnsi="Calibri"/>
                <w:sz w:val="20"/>
                <w:szCs w:val="20"/>
              </w:rPr>
              <w:t xml:space="preserve"> all patients receiving chronic opioid therapy. </w:t>
            </w:r>
          </w:p>
        </w:tc>
      </w:tr>
      <w:tr w:rsidR="001704C5" w:rsidRPr="00064E89" w14:paraId="22CBD63A" w14:textId="77777777" w:rsidTr="001704C5">
        <w:tc>
          <w:tcPr>
            <w:tcW w:w="2635" w:type="dxa"/>
          </w:tcPr>
          <w:p w14:paraId="6D42BF74" w14:textId="6C296D2B" w:rsidR="001704C5" w:rsidRPr="00064E89" w:rsidRDefault="001704C5" w:rsidP="00483E69">
            <w:pPr>
              <w:keepNext/>
              <w:rPr>
                <w:rFonts w:ascii="Calibri" w:hAnsi="Calibri"/>
                <w:sz w:val="20"/>
                <w:szCs w:val="20"/>
              </w:rPr>
            </w:pPr>
            <w:r w:rsidRPr="00064E89">
              <w:rPr>
                <w:rFonts w:ascii="Calibri" w:hAnsi="Calibri"/>
                <w:sz w:val="20"/>
                <w:szCs w:val="20"/>
              </w:rPr>
              <w:t>Patient Education</w:t>
            </w:r>
          </w:p>
        </w:tc>
        <w:tc>
          <w:tcPr>
            <w:tcW w:w="2635" w:type="dxa"/>
          </w:tcPr>
          <w:p w14:paraId="34B7BF5A" w14:textId="0C4DF16D" w:rsidR="001704C5" w:rsidRPr="00064E89" w:rsidRDefault="001704C5" w:rsidP="00483E69">
            <w:pPr>
              <w:keepNext/>
              <w:rPr>
                <w:rFonts w:ascii="Calibri" w:hAnsi="Calibri"/>
                <w:sz w:val="20"/>
                <w:szCs w:val="20"/>
              </w:rPr>
            </w:pPr>
          </w:p>
        </w:tc>
        <w:tc>
          <w:tcPr>
            <w:tcW w:w="2635" w:type="dxa"/>
          </w:tcPr>
          <w:p w14:paraId="08349D11" w14:textId="25339E2B" w:rsidR="001704C5" w:rsidRPr="00064E89" w:rsidRDefault="001704C5" w:rsidP="00483E69">
            <w:pPr>
              <w:keepNext/>
              <w:rPr>
                <w:rFonts w:ascii="Calibri" w:hAnsi="Calibri"/>
                <w:sz w:val="20"/>
                <w:szCs w:val="20"/>
              </w:rPr>
            </w:pPr>
          </w:p>
        </w:tc>
        <w:tc>
          <w:tcPr>
            <w:tcW w:w="2635" w:type="dxa"/>
          </w:tcPr>
          <w:p w14:paraId="657A3F95" w14:textId="48479A9B" w:rsidR="001704C5" w:rsidRPr="00064E89" w:rsidRDefault="001704C5" w:rsidP="00483E69">
            <w:pPr>
              <w:keepNext/>
              <w:rPr>
                <w:rFonts w:ascii="Calibri" w:hAnsi="Calibri"/>
                <w:sz w:val="20"/>
                <w:szCs w:val="20"/>
              </w:rPr>
            </w:pPr>
          </w:p>
        </w:tc>
        <w:tc>
          <w:tcPr>
            <w:tcW w:w="2636" w:type="dxa"/>
          </w:tcPr>
          <w:p w14:paraId="1DE62FFE" w14:textId="7E0314FB" w:rsidR="001704C5" w:rsidRPr="00064E89" w:rsidRDefault="001704C5" w:rsidP="00483E69">
            <w:pPr>
              <w:keepNext/>
              <w:rPr>
                <w:rFonts w:ascii="Calibri" w:hAnsi="Calibri"/>
                <w:sz w:val="20"/>
                <w:szCs w:val="20"/>
              </w:rPr>
            </w:pPr>
          </w:p>
        </w:tc>
      </w:tr>
      <w:tr w:rsidR="001704C5" w:rsidRPr="00064E89" w14:paraId="039E3E23" w14:textId="77777777" w:rsidTr="001704C5">
        <w:tc>
          <w:tcPr>
            <w:tcW w:w="2635" w:type="dxa"/>
          </w:tcPr>
          <w:p w14:paraId="00E63655" w14:textId="406C30C8" w:rsidR="001704C5" w:rsidRPr="00064E89" w:rsidRDefault="001704C5" w:rsidP="001704C5">
            <w:pPr>
              <w:keepNext/>
              <w:rPr>
                <w:rFonts w:ascii="Calibri" w:hAnsi="Calibri"/>
                <w:sz w:val="20"/>
                <w:szCs w:val="20"/>
              </w:rPr>
            </w:pPr>
          </w:p>
        </w:tc>
        <w:tc>
          <w:tcPr>
            <w:tcW w:w="2635" w:type="dxa"/>
          </w:tcPr>
          <w:p w14:paraId="1ABF0464" w14:textId="5635274C" w:rsidR="001704C5" w:rsidRPr="00064E89" w:rsidRDefault="001704C5" w:rsidP="001704C5">
            <w:pPr>
              <w:keepNext/>
              <w:rPr>
                <w:rFonts w:ascii="Calibri" w:hAnsi="Calibri"/>
                <w:sz w:val="20"/>
                <w:szCs w:val="20"/>
              </w:rPr>
            </w:pPr>
            <w:r w:rsidRPr="00064E89">
              <w:rPr>
                <w:rFonts w:ascii="Calibri" w:hAnsi="Calibri"/>
                <w:sz w:val="20"/>
                <w:szCs w:val="20"/>
              </w:rPr>
              <w:t xml:space="preserve">No policy around patient education on opioids exists. Minimal materials are available and patient education varies across providers. </w:t>
            </w:r>
          </w:p>
        </w:tc>
        <w:tc>
          <w:tcPr>
            <w:tcW w:w="2635" w:type="dxa"/>
          </w:tcPr>
          <w:p w14:paraId="2D183BEF" w14:textId="0D981766" w:rsidR="001704C5" w:rsidRPr="00064E89" w:rsidRDefault="001704C5" w:rsidP="001704C5">
            <w:pPr>
              <w:keepNext/>
              <w:rPr>
                <w:rFonts w:ascii="Calibri" w:hAnsi="Calibri"/>
                <w:sz w:val="20"/>
                <w:szCs w:val="20"/>
              </w:rPr>
            </w:pPr>
            <w:r w:rsidRPr="00064E89">
              <w:rPr>
                <w:rFonts w:ascii="Calibri" w:hAnsi="Calibri"/>
                <w:sz w:val="20"/>
                <w:szCs w:val="20"/>
              </w:rPr>
              <w:t xml:space="preserve">The clinic has a plan to have educational conversations with all patients on opioids: (1) acute vs. chronic pain, (2) the risks of opioids, and (3) the benefits of alternative therapies and patient engagement in their own recovery.  For patients prescribed greater than 50 MEDs, these conversations are the precursor to tapering.  Additional educational materials have been identified. </w:t>
            </w:r>
          </w:p>
        </w:tc>
        <w:tc>
          <w:tcPr>
            <w:tcW w:w="2635" w:type="dxa"/>
          </w:tcPr>
          <w:p w14:paraId="15C0095F" w14:textId="77777777" w:rsidR="001704C5" w:rsidRPr="00064E89" w:rsidRDefault="001704C5" w:rsidP="001704C5">
            <w:pPr>
              <w:keepNext/>
              <w:rPr>
                <w:rFonts w:ascii="Calibri" w:hAnsi="Calibri"/>
                <w:sz w:val="20"/>
                <w:szCs w:val="20"/>
              </w:rPr>
            </w:pPr>
            <w:proofErr w:type="gramStart"/>
            <w:r w:rsidRPr="00064E89">
              <w:rPr>
                <w:rFonts w:ascii="Calibri" w:hAnsi="Calibri"/>
                <w:sz w:val="20"/>
                <w:szCs w:val="20"/>
              </w:rPr>
              <w:t>All of the</w:t>
            </w:r>
            <w:proofErr w:type="gramEnd"/>
            <w:r w:rsidRPr="00064E89">
              <w:rPr>
                <w:rFonts w:ascii="Calibri" w:hAnsi="Calibri"/>
                <w:sz w:val="20"/>
                <w:szCs w:val="20"/>
              </w:rPr>
              <w:t xml:space="preserve"> above, plus: The clinic has a defined policy on patient communication and education.  Providers have been trained on how to have better patient conversations.  But not all patients have had the conversation and received education materials. </w:t>
            </w:r>
          </w:p>
        </w:tc>
        <w:tc>
          <w:tcPr>
            <w:tcW w:w="2636" w:type="dxa"/>
          </w:tcPr>
          <w:p w14:paraId="03342C90" w14:textId="63654BDF" w:rsidR="001704C5" w:rsidRPr="00064E89" w:rsidRDefault="001704C5" w:rsidP="001704C5">
            <w:pPr>
              <w:keepNext/>
              <w:rPr>
                <w:rFonts w:ascii="Calibri" w:hAnsi="Calibri"/>
                <w:sz w:val="20"/>
                <w:szCs w:val="20"/>
              </w:rPr>
            </w:pPr>
            <w:r w:rsidRPr="00064E89">
              <w:rPr>
                <w:rFonts w:ascii="Calibri" w:hAnsi="Calibri"/>
                <w:sz w:val="20"/>
                <w:szCs w:val="20"/>
              </w:rPr>
              <w:t xml:space="preserve">All patients on opioids have had an educational conversation with their provider and received education materials. Patients are encouraged to participate in treatment decisions and to set their personal goals. </w:t>
            </w:r>
          </w:p>
        </w:tc>
      </w:tr>
      <w:tr w:rsidR="001704C5" w:rsidRPr="00064E89" w14:paraId="6326D0B2" w14:textId="77777777" w:rsidTr="001704C5">
        <w:tc>
          <w:tcPr>
            <w:tcW w:w="2635" w:type="dxa"/>
          </w:tcPr>
          <w:p w14:paraId="68C267D2" w14:textId="403505CF" w:rsidR="001704C5" w:rsidRPr="00064E89" w:rsidRDefault="001704C5" w:rsidP="00483E69">
            <w:pPr>
              <w:keepNext/>
              <w:rPr>
                <w:rFonts w:ascii="Calibri" w:hAnsi="Calibri"/>
                <w:sz w:val="20"/>
                <w:szCs w:val="20"/>
              </w:rPr>
            </w:pPr>
            <w:r w:rsidRPr="00064E89">
              <w:rPr>
                <w:rFonts w:ascii="Calibri" w:hAnsi="Calibri"/>
                <w:sz w:val="20"/>
                <w:szCs w:val="20"/>
              </w:rPr>
              <w:t>Tapering</w:t>
            </w:r>
          </w:p>
        </w:tc>
        <w:tc>
          <w:tcPr>
            <w:tcW w:w="2635" w:type="dxa"/>
          </w:tcPr>
          <w:p w14:paraId="0515C4BA" w14:textId="4D2CA6AC" w:rsidR="001704C5" w:rsidRPr="00064E89" w:rsidRDefault="001704C5" w:rsidP="00483E69">
            <w:pPr>
              <w:keepNext/>
              <w:rPr>
                <w:rFonts w:ascii="Calibri" w:hAnsi="Calibri"/>
                <w:sz w:val="20"/>
                <w:szCs w:val="20"/>
              </w:rPr>
            </w:pPr>
          </w:p>
        </w:tc>
        <w:tc>
          <w:tcPr>
            <w:tcW w:w="2635" w:type="dxa"/>
          </w:tcPr>
          <w:p w14:paraId="2F28D38F" w14:textId="4502F178" w:rsidR="001704C5" w:rsidRPr="00064E89" w:rsidRDefault="001704C5" w:rsidP="00483E69">
            <w:pPr>
              <w:keepNext/>
              <w:rPr>
                <w:rFonts w:ascii="Calibri" w:hAnsi="Calibri"/>
                <w:sz w:val="20"/>
                <w:szCs w:val="20"/>
              </w:rPr>
            </w:pPr>
          </w:p>
        </w:tc>
        <w:tc>
          <w:tcPr>
            <w:tcW w:w="2635" w:type="dxa"/>
          </w:tcPr>
          <w:p w14:paraId="4C48F36F" w14:textId="1CF67265" w:rsidR="001704C5" w:rsidRPr="00064E89" w:rsidRDefault="001704C5" w:rsidP="00483E69">
            <w:pPr>
              <w:keepNext/>
              <w:rPr>
                <w:rFonts w:ascii="Calibri" w:hAnsi="Calibri"/>
                <w:sz w:val="20"/>
                <w:szCs w:val="20"/>
              </w:rPr>
            </w:pPr>
          </w:p>
        </w:tc>
        <w:tc>
          <w:tcPr>
            <w:tcW w:w="2636" w:type="dxa"/>
          </w:tcPr>
          <w:p w14:paraId="25AFC50A" w14:textId="358F5273" w:rsidR="001704C5" w:rsidRPr="00064E89" w:rsidRDefault="001704C5" w:rsidP="00483E69">
            <w:pPr>
              <w:keepNext/>
              <w:rPr>
                <w:rFonts w:ascii="Calibri" w:hAnsi="Calibri"/>
                <w:sz w:val="20"/>
                <w:szCs w:val="20"/>
              </w:rPr>
            </w:pPr>
          </w:p>
        </w:tc>
      </w:tr>
      <w:tr w:rsidR="001704C5" w:rsidRPr="00064E89" w14:paraId="521D08EE" w14:textId="77777777" w:rsidTr="001704C5">
        <w:tc>
          <w:tcPr>
            <w:tcW w:w="2635" w:type="dxa"/>
          </w:tcPr>
          <w:p w14:paraId="6321221D" w14:textId="35116222" w:rsidR="001704C5" w:rsidRPr="00064E89" w:rsidRDefault="001704C5" w:rsidP="001704C5">
            <w:pPr>
              <w:keepNext/>
              <w:rPr>
                <w:rFonts w:ascii="Calibri" w:hAnsi="Calibri"/>
                <w:sz w:val="20"/>
                <w:szCs w:val="20"/>
              </w:rPr>
            </w:pPr>
          </w:p>
        </w:tc>
        <w:tc>
          <w:tcPr>
            <w:tcW w:w="2635" w:type="dxa"/>
          </w:tcPr>
          <w:p w14:paraId="0926B07E" w14:textId="76EE872B" w:rsidR="001704C5" w:rsidRPr="00064E89" w:rsidRDefault="001704C5" w:rsidP="001704C5">
            <w:pPr>
              <w:keepNext/>
              <w:rPr>
                <w:rFonts w:ascii="Calibri" w:hAnsi="Calibri"/>
                <w:sz w:val="20"/>
                <w:szCs w:val="20"/>
              </w:rPr>
            </w:pPr>
            <w:r w:rsidRPr="00064E89">
              <w:rPr>
                <w:rFonts w:ascii="Calibri" w:hAnsi="Calibri"/>
                <w:sz w:val="20"/>
                <w:szCs w:val="20"/>
              </w:rPr>
              <w:t xml:space="preserve">Policy around identification and tapering of high risk patients does not exist or is inconsistent. </w:t>
            </w:r>
          </w:p>
        </w:tc>
        <w:tc>
          <w:tcPr>
            <w:tcW w:w="2635" w:type="dxa"/>
          </w:tcPr>
          <w:p w14:paraId="2C4D9237" w14:textId="510345C8" w:rsidR="001704C5" w:rsidRPr="00064E89" w:rsidRDefault="001704C5" w:rsidP="001704C5">
            <w:pPr>
              <w:keepNext/>
              <w:rPr>
                <w:rFonts w:ascii="Calibri" w:hAnsi="Calibri"/>
                <w:sz w:val="20"/>
                <w:szCs w:val="20"/>
              </w:rPr>
            </w:pPr>
            <w:r w:rsidRPr="00064E89">
              <w:rPr>
                <w:rFonts w:ascii="Calibri" w:hAnsi="Calibri"/>
                <w:sz w:val="20"/>
                <w:szCs w:val="20"/>
              </w:rPr>
              <w:t xml:space="preserve">The clinic or health system has created a policy to identify, educate and taper high risk patients. Supports for both patients and providers have been identified. The definition of a high risk patient may include: (1) doses </w:t>
            </w:r>
            <w:proofErr w:type="gramStart"/>
            <w:r w:rsidRPr="00064E89">
              <w:rPr>
                <w:rFonts w:ascii="Calibri" w:hAnsi="Calibri"/>
                <w:sz w:val="20"/>
                <w:szCs w:val="20"/>
              </w:rPr>
              <w:t>above 90 MED, (2) documented aberrancy, (3) unsafe</w:t>
            </w:r>
            <w:proofErr w:type="gramEnd"/>
            <w:r w:rsidRPr="00064E89">
              <w:rPr>
                <w:rFonts w:ascii="Calibri" w:hAnsi="Calibri"/>
                <w:sz w:val="20"/>
                <w:szCs w:val="20"/>
              </w:rPr>
              <w:t xml:space="preserve"> co-prescribing, (4) past overdoses, (5) </w:t>
            </w:r>
            <w:r w:rsidRPr="00064E89">
              <w:rPr>
                <w:rFonts w:ascii="Calibri" w:hAnsi="Calibri"/>
                <w:sz w:val="20"/>
                <w:szCs w:val="20"/>
              </w:rPr>
              <w:lastRenderedPageBreak/>
              <w:t xml:space="preserve">unapproved multiple prescribers, (6) inconsistent drug screens, or (7) credible concerns for diversion by family, community, pharmacy, or police. </w:t>
            </w:r>
          </w:p>
        </w:tc>
        <w:tc>
          <w:tcPr>
            <w:tcW w:w="2635" w:type="dxa"/>
          </w:tcPr>
          <w:p w14:paraId="36EF038D" w14:textId="242CA9EE" w:rsidR="001704C5" w:rsidRPr="00064E89" w:rsidRDefault="001704C5" w:rsidP="001704C5">
            <w:pPr>
              <w:keepNext/>
              <w:rPr>
                <w:rFonts w:ascii="Calibri" w:hAnsi="Calibri"/>
                <w:sz w:val="20"/>
                <w:szCs w:val="20"/>
              </w:rPr>
            </w:pPr>
            <w:proofErr w:type="gramStart"/>
            <w:r w:rsidRPr="00064E89">
              <w:rPr>
                <w:rFonts w:ascii="Calibri" w:hAnsi="Calibri"/>
                <w:sz w:val="20"/>
                <w:szCs w:val="20"/>
              </w:rPr>
              <w:lastRenderedPageBreak/>
              <w:t>All of the</w:t>
            </w:r>
            <w:proofErr w:type="gramEnd"/>
            <w:r w:rsidRPr="00064E89">
              <w:rPr>
                <w:rFonts w:ascii="Calibri" w:hAnsi="Calibri"/>
                <w:sz w:val="20"/>
                <w:szCs w:val="20"/>
              </w:rPr>
              <w:t xml:space="preserve"> above, plus: The identification and tapering policy is being implemented. Protocols for slow versus rapid taper are established with patient safety as the primary rate determining factor. Behavioral supports are available to aid successful tapering. </w:t>
            </w:r>
          </w:p>
        </w:tc>
        <w:tc>
          <w:tcPr>
            <w:tcW w:w="2636" w:type="dxa"/>
          </w:tcPr>
          <w:p w14:paraId="0A67FB36" w14:textId="2FC38CC0" w:rsidR="001704C5" w:rsidRPr="00064E89" w:rsidRDefault="001704C5" w:rsidP="001704C5">
            <w:pPr>
              <w:keepNext/>
              <w:rPr>
                <w:rFonts w:ascii="Calibri" w:hAnsi="Calibri"/>
                <w:sz w:val="20"/>
                <w:szCs w:val="20"/>
              </w:rPr>
            </w:pPr>
            <w:r w:rsidRPr="00064E89">
              <w:rPr>
                <w:rFonts w:ascii="Calibri" w:hAnsi="Calibri"/>
                <w:sz w:val="20"/>
                <w:szCs w:val="20"/>
              </w:rPr>
              <w:t xml:space="preserve">Patients are regularly assessed for overdose or addiction risk. Tapering plans are being implemented for all high risk patients. Buprenorphine is available for patients who are identified as having an opioid use disorder. </w:t>
            </w:r>
          </w:p>
        </w:tc>
      </w:tr>
      <w:tr w:rsidR="001704C5" w:rsidRPr="00064E89" w14:paraId="7C5F932C" w14:textId="77777777" w:rsidTr="001704C5">
        <w:tc>
          <w:tcPr>
            <w:tcW w:w="2635" w:type="dxa"/>
          </w:tcPr>
          <w:p w14:paraId="3EEC62C9" w14:textId="76B344B3" w:rsidR="001704C5" w:rsidRPr="00064E89" w:rsidRDefault="001704C5" w:rsidP="00483E69">
            <w:pPr>
              <w:keepNext/>
              <w:rPr>
                <w:rFonts w:ascii="Calibri" w:hAnsi="Calibri"/>
                <w:sz w:val="20"/>
                <w:szCs w:val="20"/>
              </w:rPr>
            </w:pPr>
            <w:r w:rsidRPr="00064E89">
              <w:rPr>
                <w:rFonts w:ascii="Calibri" w:hAnsi="Calibri"/>
                <w:sz w:val="20"/>
                <w:szCs w:val="20"/>
              </w:rPr>
              <w:lastRenderedPageBreak/>
              <w:t>Naloxone</w:t>
            </w:r>
          </w:p>
        </w:tc>
        <w:tc>
          <w:tcPr>
            <w:tcW w:w="2635" w:type="dxa"/>
          </w:tcPr>
          <w:p w14:paraId="0D968813" w14:textId="565F8F2C" w:rsidR="001704C5" w:rsidRPr="00064E89" w:rsidRDefault="001704C5" w:rsidP="00483E69">
            <w:pPr>
              <w:keepNext/>
              <w:rPr>
                <w:rFonts w:ascii="Calibri" w:hAnsi="Calibri"/>
                <w:sz w:val="20"/>
                <w:szCs w:val="20"/>
              </w:rPr>
            </w:pPr>
          </w:p>
        </w:tc>
        <w:tc>
          <w:tcPr>
            <w:tcW w:w="2635" w:type="dxa"/>
          </w:tcPr>
          <w:p w14:paraId="62EEE637" w14:textId="2B046679" w:rsidR="001704C5" w:rsidRPr="00064E89" w:rsidRDefault="001704C5" w:rsidP="00483E69">
            <w:pPr>
              <w:keepNext/>
              <w:rPr>
                <w:rFonts w:ascii="Calibri" w:hAnsi="Calibri"/>
                <w:sz w:val="20"/>
                <w:szCs w:val="20"/>
              </w:rPr>
            </w:pPr>
          </w:p>
        </w:tc>
        <w:tc>
          <w:tcPr>
            <w:tcW w:w="2635" w:type="dxa"/>
          </w:tcPr>
          <w:p w14:paraId="0202B75B" w14:textId="62DC017A" w:rsidR="001704C5" w:rsidRPr="00064E89" w:rsidRDefault="001704C5" w:rsidP="00483E69">
            <w:pPr>
              <w:keepNext/>
              <w:rPr>
                <w:rFonts w:ascii="Calibri" w:hAnsi="Calibri"/>
                <w:sz w:val="20"/>
                <w:szCs w:val="20"/>
              </w:rPr>
            </w:pPr>
          </w:p>
        </w:tc>
        <w:tc>
          <w:tcPr>
            <w:tcW w:w="2636" w:type="dxa"/>
          </w:tcPr>
          <w:p w14:paraId="3D40DCB3" w14:textId="2D319723" w:rsidR="001704C5" w:rsidRPr="00064E89" w:rsidRDefault="001704C5" w:rsidP="00483E69">
            <w:pPr>
              <w:keepNext/>
              <w:rPr>
                <w:rFonts w:ascii="Calibri" w:hAnsi="Calibri"/>
                <w:sz w:val="20"/>
                <w:szCs w:val="20"/>
              </w:rPr>
            </w:pPr>
          </w:p>
        </w:tc>
      </w:tr>
      <w:tr w:rsidR="001704C5" w:rsidRPr="00064E89" w14:paraId="2319AE0A" w14:textId="77777777" w:rsidTr="001704C5">
        <w:tc>
          <w:tcPr>
            <w:tcW w:w="2635" w:type="dxa"/>
          </w:tcPr>
          <w:p w14:paraId="799DEF26" w14:textId="64426C05" w:rsidR="001704C5" w:rsidRPr="00064E89" w:rsidRDefault="001704C5" w:rsidP="001704C5">
            <w:pPr>
              <w:keepNext/>
              <w:rPr>
                <w:rFonts w:ascii="Calibri" w:hAnsi="Calibri"/>
                <w:sz w:val="20"/>
                <w:szCs w:val="20"/>
              </w:rPr>
            </w:pPr>
          </w:p>
        </w:tc>
        <w:tc>
          <w:tcPr>
            <w:tcW w:w="2635" w:type="dxa"/>
          </w:tcPr>
          <w:p w14:paraId="3AEC81DC" w14:textId="3DD69484" w:rsidR="001704C5" w:rsidRPr="00064E89" w:rsidRDefault="001704C5" w:rsidP="001704C5">
            <w:pPr>
              <w:keepNext/>
              <w:rPr>
                <w:rFonts w:ascii="Calibri" w:hAnsi="Calibri"/>
                <w:sz w:val="20"/>
                <w:szCs w:val="20"/>
              </w:rPr>
            </w:pPr>
            <w:r w:rsidRPr="00064E89">
              <w:rPr>
                <w:rFonts w:ascii="Calibri" w:hAnsi="Calibri"/>
                <w:sz w:val="20"/>
                <w:szCs w:val="20"/>
              </w:rPr>
              <w:t xml:space="preserve">Naloxone is not co-prescribed with high dose opioid prescriptions or offered consistently to patients on high dose opioids. </w:t>
            </w:r>
          </w:p>
        </w:tc>
        <w:tc>
          <w:tcPr>
            <w:tcW w:w="2635" w:type="dxa"/>
          </w:tcPr>
          <w:p w14:paraId="1E3EB4E8" w14:textId="231E6E23" w:rsidR="001704C5" w:rsidRPr="00064E89" w:rsidRDefault="001704C5" w:rsidP="001704C5">
            <w:pPr>
              <w:keepNext/>
              <w:rPr>
                <w:rFonts w:ascii="Calibri" w:hAnsi="Calibri"/>
                <w:sz w:val="20"/>
                <w:szCs w:val="20"/>
              </w:rPr>
            </w:pPr>
            <w:r w:rsidRPr="00064E89">
              <w:rPr>
                <w:rFonts w:ascii="Calibri" w:hAnsi="Calibri"/>
                <w:sz w:val="20"/>
                <w:szCs w:val="20"/>
              </w:rPr>
              <w:t xml:space="preserve">Policies and procedures have been developed in conjunction with local pharmacies regarding co-prescribing naloxone with prescriptions of high dose opioids, but are not consistently implemented. Educational materials are available regarding overdose risk and naloxone. A scripted message is available for any clinic staff member to encourage the use of naloxone for at-risk patients. </w:t>
            </w:r>
          </w:p>
        </w:tc>
        <w:tc>
          <w:tcPr>
            <w:tcW w:w="2635" w:type="dxa"/>
          </w:tcPr>
          <w:p w14:paraId="66AEF5E8" w14:textId="3A906414" w:rsidR="001704C5" w:rsidRPr="00064E89" w:rsidRDefault="001704C5" w:rsidP="001704C5">
            <w:pPr>
              <w:keepNext/>
              <w:rPr>
                <w:rFonts w:ascii="Calibri" w:hAnsi="Calibri"/>
                <w:sz w:val="20"/>
                <w:szCs w:val="20"/>
              </w:rPr>
            </w:pPr>
            <w:r w:rsidRPr="00064E89">
              <w:rPr>
                <w:rFonts w:ascii="Calibri" w:hAnsi="Calibri"/>
                <w:sz w:val="20"/>
                <w:szCs w:val="20"/>
              </w:rPr>
              <w:t xml:space="preserve">Written procedures for encouraging naloxone co-prescribing are being implemented. Procedures include clear methods of enlisting the help of patient’s family and friends in this safety measure. All staff </w:t>
            </w:r>
            <w:proofErr w:type="gramStart"/>
            <w:r w:rsidRPr="00064E89">
              <w:rPr>
                <w:rFonts w:ascii="Calibri" w:hAnsi="Calibri"/>
                <w:sz w:val="20"/>
                <w:szCs w:val="20"/>
              </w:rPr>
              <w:t>are</w:t>
            </w:r>
            <w:proofErr w:type="gramEnd"/>
            <w:r w:rsidRPr="00064E89">
              <w:rPr>
                <w:rFonts w:ascii="Calibri" w:hAnsi="Calibri"/>
                <w:sz w:val="20"/>
                <w:szCs w:val="20"/>
              </w:rPr>
              <w:t xml:space="preserve"> aware of the scripted message around co-prescribing. </w:t>
            </w:r>
          </w:p>
        </w:tc>
        <w:tc>
          <w:tcPr>
            <w:tcW w:w="2636" w:type="dxa"/>
          </w:tcPr>
          <w:p w14:paraId="611CA603" w14:textId="505C37F8" w:rsidR="001704C5" w:rsidRPr="00064E89" w:rsidRDefault="001704C5" w:rsidP="001704C5">
            <w:pPr>
              <w:keepNext/>
              <w:rPr>
                <w:rFonts w:ascii="Calibri" w:hAnsi="Calibri"/>
                <w:sz w:val="20"/>
                <w:szCs w:val="20"/>
              </w:rPr>
            </w:pPr>
            <w:r w:rsidRPr="00064E89">
              <w:rPr>
                <w:rFonts w:ascii="Calibri" w:hAnsi="Calibri"/>
                <w:sz w:val="20"/>
                <w:szCs w:val="20"/>
              </w:rPr>
              <w:t>All patients receiving opioids above 50 MED and/or diagnosed with an opioid use disorder (or a close associate) are offered a prescription for naloxone</w:t>
            </w:r>
            <w:r w:rsidRPr="00064E89">
              <w:rPr>
                <w:rFonts w:ascii="Calibri" w:hAnsi="Calibri"/>
                <w:sz w:val="20"/>
                <w:szCs w:val="20"/>
              </w:rPr>
              <w:t xml:space="preserve">. Co-prescribing is encouraged at lower doses, especially when co-existing risks, such as chronic pulmonary disease, are present. </w:t>
            </w:r>
          </w:p>
        </w:tc>
      </w:tr>
      <w:tr w:rsidR="001704C5" w:rsidRPr="00064E89" w14:paraId="2685F0E0" w14:textId="77777777" w:rsidTr="001704C5">
        <w:tc>
          <w:tcPr>
            <w:tcW w:w="2635" w:type="dxa"/>
          </w:tcPr>
          <w:p w14:paraId="2B366D28" w14:textId="1F87E039" w:rsidR="001704C5" w:rsidRPr="00064E89" w:rsidRDefault="001704C5" w:rsidP="00483E69">
            <w:pPr>
              <w:keepNext/>
              <w:rPr>
                <w:rFonts w:ascii="Calibri" w:hAnsi="Calibri"/>
                <w:sz w:val="20"/>
                <w:szCs w:val="20"/>
              </w:rPr>
            </w:pPr>
            <w:r w:rsidRPr="00064E89">
              <w:rPr>
                <w:rFonts w:ascii="Calibri" w:hAnsi="Calibri"/>
                <w:sz w:val="20"/>
                <w:szCs w:val="20"/>
              </w:rPr>
              <w:t>Buprenorphine</w:t>
            </w:r>
          </w:p>
        </w:tc>
        <w:tc>
          <w:tcPr>
            <w:tcW w:w="2635" w:type="dxa"/>
          </w:tcPr>
          <w:p w14:paraId="620661DC" w14:textId="3AB1A287" w:rsidR="001704C5" w:rsidRPr="00064E89" w:rsidRDefault="001704C5" w:rsidP="00483E69">
            <w:pPr>
              <w:keepNext/>
              <w:rPr>
                <w:rFonts w:ascii="Calibri" w:hAnsi="Calibri"/>
                <w:sz w:val="20"/>
                <w:szCs w:val="20"/>
              </w:rPr>
            </w:pPr>
          </w:p>
        </w:tc>
        <w:tc>
          <w:tcPr>
            <w:tcW w:w="2635" w:type="dxa"/>
          </w:tcPr>
          <w:p w14:paraId="29E515F5" w14:textId="4BB4FB3F" w:rsidR="001704C5" w:rsidRPr="00064E89" w:rsidRDefault="001704C5" w:rsidP="00483E69">
            <w:pPr>
              <w:keepNext/>
              <w:rPr>
                <w:rFonts w:ascii="Calibri" w:hAnsi="Calibri"/>
                <w:sz w:val="20"/>
                <w:szCs w:val="20"/>
              </w:rPr>
            </w:pPr>
          </w:p>
        </w:tc>
        <w:tc>
          <w:tcPr>
            <w:tcW w:w="2635" w:type="dxa"/>
          </w:tcPr>
          <w:p w14:paraId="54881418" w14:textId="7917706E" w:rsidR="001704C5" w:rsidRPr="00064E89" w:rsidRDefault="001704C5" w:rsidP="00483E69">
            <w:pPr>
              <w:keepNext/>
              <w:rPr>
                <w:rFonts w:ascii="Calibri" w:hAnsi="Calibri"/>
                <w:sz w:val="20"/>
                <w:szCs w:val="20"/>
              </w:rPr>
            </w:pPr>
          </w:p>
        </w:tc>
        <w:tc>
          <w:tcPr>
            <w:tcW w:w="2636" w:type="dxa"/>
          </w:tcPr>
          <w:p w14:paraId="0377D07D" w14:textId="13413648" w:rsidR="001704C5" w:rsidRPr="00064E89" w:rsidRDefault="001704C5" w:rsidP="00483E69">
            <w:pPr>
              <w:keepNext/>
              <w:rPr>
                <w:rFonts w:ascii="Calibri" w:hAnsi="Calibri"/>
                <w:sz w:val="20"/>
                <w:szCs w:val="20"/>
              </w:rPr>
            </w:pPr>
          </w:p>
        </w:tc>
      </w:tr>
      <w:tr w:rsidR="001704C5" w:rsidRPr="00064E89" w14:paraId="3C609FF0" w14:textId="77777777" w:rsidTr="001704C5">
        <w:tc>
          <w:tcPr>
            <w:tcW w:w="2635" w:type="dxa"/>
          </w:tcPr>
          <w:p w14:paraId="7B769451" w14:textId="3CD033CB" w:rsidR="001704C5" w:rsidRPr="00064E89" w:rsidRDefault="001704C5" w:rsidP="001704C5">
            <w:pPr>
              <w:keepNext/>
              <w:rPr>
                <w:rFonts w:ascii="Calibri" w:hAnsi="Calibri"/>
                <w:sz w:val="20"/>
                <w:szCs w:val="20"/>
              </w:rPr>
            </w:pPr>
          </w:p>
        </w:tc>
        <w:tc>
          <w:tcPr>
            <w:tcW w:w="2635" w:type="dxa"/>
          </w:tcPr>
          <w:p w14:paraId="0F24EA8E" w14:textId="699CD820" w:rsidR="001704C5" w:rsidRPr="00064E89" w:rsidRDefault="001704C5" w:rsidP="001704C5">
            <w:pPr>
              <w:keepNext/>
              <w:rPr>
                <w:rFonts w:ascii="Calibri" w:hAnsi="Calibri"/>
                <w:sz w:val="20"/>
                <w:szCs w:val="20"/>
              </w:rPr>
            </w:pPr>
            <w:r w:rsidRPr="00064E89">
              <w:rPr>
                <w:rFonts w:ascii="Calibri" w:hAnsi="Calibri"/>
                <w:sz w:val="20"/>
                <w:szCs w:val="20"/>
              </w:rPr>
              <w:t xml:space="preserve">Buprenorphine treatment is not available for patients diagnosed with an opioid use disorder. </w:t>
            </w:r>
          </w:p>
        </w:tc>
        <w:tc>
          <w:tcPr>
            <w:tcW w:w="2635" w:type="dxa"/>
          </w:tcPr>
          <w:p w14:paraId="1646F845" w14:textId="57C6EC58" w:rsidR="001704C5" w:rsidRPr="00064E89" w:rsidRDefault="001704C5" w:rsidP="001704C5">
            <w:pPr>
              <w:keepNext/>
              <w:rPr>
                <w:rFonts w:ascii="Calibri" w:hAnsi="Calibri"/>
                <w:sz w:val="20"/>
                <w:szCs w:val="20"/>
              </w:rPr>
            </w:pPr>
            <w:r w:rsidRPr="00064E89">
              <w:rPr>
                <w:rFonts w:ascii="Calibri" w:hAnsi="Calibri"/>
                <w:sz w:val="20"/>
                <w:szCs w:val="20"/>
              </w:rPr>
              <w:t xml:space="preserve">A plan is in place to facilitate physicians obtaining an x-waiver to provide in-house buprenorphine treatment, and/or a system exists for referring patients to community-based MAT providers. </w:t>
            </w:r>
          </w:p>
        </w:tc>
        <w:tc>
          <w:tcPr>
            <w:tcW w:w="2635" w:type="dxa"/>
          </w:tcPr>
          <w:p w14:paraId="3BAF28C3" w14:textId="735A9DE4" w:rsidR="001704C5" w:rsidRPr="00064E89" w:rsidRDefault="001704C5" w:rsidP="001704C5">
            <w:pPr>
              <w:keepNext/>
              <w:rPr>
                <w:rFonts w:ascii="Calibri" w:hAnsi="Calibri"/>
                <w:sz w:val="20"/>
                <w:szCs w:val="20"/>
              </w:rPr>
            </w:pPr>
            <w:r w:rsidRPr="00064E89">
              <w:rPr>
                <w:rFonts w:ascii="Calibri" w:hAnsi="Calibri"/>
                <w:sz w:val="20"/>
                <w:szCs w:val="20"/>
              </w:rPr>
              <w:t xml:space="preserve">In-house </w:t>
            </w:r>
            <w:proofErr w:type="gramStart"/>
            <w:r w:rsidRPr="00064E89">
              <w:rPr>
                <w:rFonts w:ascii="Calibri" w:hAnsi="Calibri"/>
                <w:sz w:val="20"/>
                <w:szCs w:val="20"/>
              </w:rPr>
              <w:t>staff are</w:t>
            </w:r>
            <w:proofErr w:type="gramEnd"/>
            <w:r w:rsidRPr="00064E89">
              <w:rPr>
                <w:rFonts w:ascii="Calibri" w:hAnsi="Calibri"/>
                <w:sz w:val="20"/>
                <w:szCs w:val="20"/>
              </w:rPr>
              <w:t xml:space="preserve"> being trained to provide buprenorphine treatment. Physicians are in the process of obtaining x-waivers for prescribing </w:t>
            </w:r>
            <w:proofErr w:type="spellStart"/>
            <w:r w:rsidRPr="00064E89">
              <w:rPr>
                <w:rFonts w:ascii="Calibri" w:hAnsi="Calibri"/>
                <w:sz w:val="20"/>
                <w:szCs w:val="20"/>
              </w:rPr>
              <w:t>buprenorphone</w:t>
            </w:r>
            <w:proofErr w:type="spellEnd"/>
            <w:r w:rsidRPr="00064E89">
              <w:rPr>
                <w:rFonts w:ascii="Calibri" w:hAnsi="Calibri"/>
                <w:sz w:val="20"/>
                <w:szCs w:val="20"/>
              </w:rPr>
              <w:t xml:space="preserve"> to patients. Incentives are offered to staff or community partners to get trained and/or provide buprenorphine-assisted treatment to appropriate patients. </w:t>
            </w:r>
          </w:p>
        </w:tc>
        <w:tc>
          <w:tcPr>
            <w:tcW w:w="2636" w:type="dxa"/>
          </w:tcPr>
          <w:p w14:paraId="49BB956F" w14:textId="1575F61B" w:rsidR="001704C5" w:rsidRPr="00064E89" w:rsidRDefault="001704C5" w:rsidP="001704C5">
            <w:pPr>
              <w:keepNext/>
              <w:rPr>
                <w:rFonts w:ascii="Calibri" w:hAnsi="Calibri"/>
                <w:sz w:val="20"/>
                <w:szCs w:val="20"/>
              </w:rPr>
            </w:pPr>
            <w:r w:rsidRPr="00064E89">
              <w:rPr>
                <w:rFonts w:ascii="Calibri" w:hAnsi="Calibri"/>
                <w:sz w:val="20"/>
                <w:szCs w:val="20"/>
              </w:rPr>
              <w:t xml:space="preserve">Buprenorphine treatment is available to all patients diagnosed with an opioid use disorder, either through physicians with x-waivers or partnerships with community addiction treatment providers. Physicians with x-waivers encourage the use of available community supports (NA groups, clergy) where possible. </w:t>
            </w:r>
          </w:p>
        </w:tc>
      </w:tr>
      <w:tr w:rsidR="001704C5" w:rsidRPr="00064E89" w14:paraId="79C6470F" w14:textId="77777777" w:rsidTr="001704C5">
        <w:tc>
          <w:tcPr>
            <w:tcW w:w="2635" w:type="dxa"/>
          </w:tcPr>
          <w:p w14:paraId="61E48125" w14:textId="3D913CF3" w:rsidR="001704C5" w:rsidRPr="00064E89" w:rsidRDefault="001704C5" w:rsidP="00483E69">
            <w:pPr>
              <w:keepNext/>
              <w:rPr>
                <w:rFonts w:ascii="Calibri" w:hAnsi="Calibri"/>
                <w:sz w:val="20"/>
                <w:szCs w:val="20"/>
              </w:rPr>
            </w:pPr>
            <w:r w:rsidRPr="00064E89">
              <w:rPr>
                <w:rFonts w:ascii="Calibri" w:hAnsi="Calibri"/>
                <w:sz w:val="20"/>
                <w:szCs w:val="20"/>
              </w:rPr>
              <w:t>Methadone</w:t>
            </w:r>
          </w:p>
        </w:tc>
        <w:tc>
          <w:tcPr>
            <w:tcW w:w="2635" w:type="dxa"/>
          </w:tcPr>
          <w:p w14:paraId="163B42CF" w14:textId="07DBF9B7" w:rsidR="001704C5" w:rsidRPr="00064E89" w:rsidRDefault="001704C5" w:rsidP="00483E69">
            <w:pPr>
              <w:keepNext/>
              <w:rPr>
                <w:rFonts w:ascii="Calibri" w:hAnsi="Calibri"/>
                <w:sz w:val="20"/>
                <w:szCs w:val="20"/>
              </w:rPr>
            </w:pPr>
          </w:p>
        </w:tc>
        <w:tc>
          <w:tcPr>
            <w:tcW w:w="2635" w:type="dxa"/>
          </w:tcPr>
          <w:p w14:paraId="7A7EB4EB" w14:textId="1D07A73E" w:rsidR="001704C5" w:rsidRPr="00064E89" w:rsidRDefault="001704C5" w:rsidP="00483E69">
            <w:pPr>
              <w:keepNext/>
              <w:rPr>
                <w:rFonts w:ascii="Calibri" w:hAnsi="Calibri"/>
                <w:sz w:val="20"/>
                <w:szCs w:val="20"/>
              </w:rPr>
            </w:pPr>
          </w:p>
        </w:tc>
        <w:tc>
          <w:tcPr>
            <w:tcW w:w="2635" w:type="dxa"/>
          </w:tcPr>
          <w:p w14:paraId="69EFA4A3" w14:textId="49A7AD1F" w:rsidR="001704C5" w:rsidRPr="00064E89" w:rsidRDefault="001704C5" w:rsidP="00483E69">
            <w:pPr>
              <w:keepNext/>
              <w:rPr>
                <w:rFonts w:ascii="Calibri" w:hAnsi="Calibri"/>
                <w:sz w:val="20"/>
                <w:szCs w:val="20"/>
              </w:rPr>
            </w:pPr>
          </w:p>
        </w:tc>
        <w:tc>
          <w:tcPr>
            <w:tcW w:w="2636" w:type="dxa"/>
          </w:tcPr>
          <w:p w14:paraId="298BF86D" w14:textId="40A94F8F" w:rsidR="001704C5" w:rsidRPr="00064E89" w:rsidRDefault="001704C5" w:rsidP="00483E69">
            <w:pPr>
              <w:keepNext/>
              <w:rPr>
                <w:rFonts w:ascii="Calibri" w:hAnsi="Calibri"/>
                <w:sz w:val="20"/>
                <w:szCs w:val="20"/>
              </w:rPr>
            </w:pPr>
          </w:p>
        </w:tc>
      </w:tr>
      <w:tr w:rsidR="001704C5" w:rsidRPr="00064E89" w14:paraId="26A418C8" w14:textId="77777777" w:rsidTr="001704C5">
        <w:tc>
          <w:tcPr>
            <w:tcW w:w="2635" w:type="dxa"/>
          </w:tcPr>
          <w:p w14:paraId="46A10602" w14:textId="688CC7D2" w:rsidR="001704C5" w:rsidRPr="00064E89" w:rsidRDefault="001704C5" w:rsidP="001704C5">
            <w:pPr>
              <w:keepNext/>
              <w:rPr>
                <w:rFonts w:ascii="Calibri" w:hAnsi="Calibri"/>
                <w:sz w:val="20"/>
                <w:szCs w:val="20"/>
              </w:rPr>
            </w:pPr>
          </w:p>
        </w:tc>
        <w:tc>
          <w:tcPr>
            <w:tcW w:w="2635" w:type="dxa"/>
          </w:tcPr>
          <w:p w14:paraId="2A70426F" w14:textId="17662705" w:rsidR="001704C5" w:rsidRPr="00064E89" w:rsidRDefault="001704C5" w:rsidP="001704C5">
            <w:pPr>
              <w:keepNext/>
              <w:rPr>
                <w:rFonts w:ascii="Calibri" w:hAnsi="Calibri"/>
                <w:sz w:val="20"/>
                <w:szCs w:val="20"/>
              </w:rPr>
            </w:pPr>
            <w:r w:rsidRPr="00064E89">
              <w:rPr>
                <w:rFonts w:ascii="Calibri" w:hAnsi="Calibri"/>
                <w:sz w:val="20"/>
                <w:szCs w:val="20"/>
              </w:rPr>
              <w:t xml:space="preserve">There is no policy around the use of methadone for pain management. </w:t>
            </w:r>
          </w:p>
        </w:tc>
        <w:tc>
          <w:tcPr>
            <w:tcW w:w="2635" w:type="dxa"/>
          </w:tcPr>
          <w:p w14:paraId="2FB16FA5" w14:textId="2ED0612F" w:rsidR="001704C5" w:rsidRPr="00064E89" w:rsidRDefault="001704C5" w:rsidP="001704C5">
            <w:pPr>
              <w:keepNext/>
              <w:rPr>
                <w:rFonts w:ascii="Calibri" w:hAnsi="Calibri"/>
                <w:sz w:val="20"/>
                <w:szCs w:val="20"/>
              </w:rPr>
            </w:pPr>
            <w:r w:rsidRPr="00064E89">
              <w:rPr>
                <w:rFonts w:ascii="Calibri" w:hAnsi="Calibri"/>
                <w:sz w:val="20"/>
                <w:szCs w:val="20"/>
              </w:rPr>
              <w:t xml:space="preserve">Methadone prescribing policies have been created that include educating patients, tapering </w:t>
            </w:r>
            <w:r w:rsidRPr="00064E89">
              <w:rPr>
                <w:rFonts w:ascii="Calibri" w:hAnsi="Calibri"/>
                <w:sz w:val="20"/>
                <w:szCs w:val="20"/>
              </w:rPr>
              <w:lastRenderedPageBreak/>
              <w:t xml:space="preserve">methadone doses to less than 30 mg/day, avoiding initiation of methadone, and avoiding use of methadone for acute pain, but they have not been implemented. </w:t>
            </w:r>
          </w:p>
        </w:tc>
        <w:tc>
          <w:tcPr>
            <w:tcW w:w="2635" w:type="dxa"/>
          </w:tcPr>
          <w:p w14:paraId="4514E62E" w14:textId="0ED761A3" w:rsidR="001704C5" w:rsidRPr="00064E89" w:rsidRDefault="001704C5" w:rsidP="001704C5">
            <w:pPr>
              <w:keepNext/>
              <w:rPr>
                <w:rFonts w:ascii="Calibri" w:hAnsi="Calibri"/>
                <w:sz w:val="20"/>
                <w:szCs w:val="20"/>
              </w:rPr>
            </w:pPr>
            <w:proofErr w:type="gramStart"/>
            <w:r w:rsidRPr="00064E89">
              <w:rPr>
                <w:rFonts w:ascii="Calibri" w:hAnsi="Calibri"/>
                <w:sz w:val="20"/>
                <w:szCs w:val="20"/>
              </w:rPr>
              <w:lastRenderedPageBreak/>
              <w:t>Staff are</w:t>
            </w:r>
            <w:proofErr w:type="gramEnd"/>
            <w:r w:rsidRPr="00064E89">
              <w:rPr>
                <w:rFonts w:ascii="Calibri" w:hAnsi="Calibri"/>
                <w:sz w:val="20"/>
                <w:szCs w:val="20"/>
              </w:rPr>
              <w:t xml:space="preserve"> aware of the methadone prescribing policies, and implementation is under way. </w:t>
            </w:r>
          </w:p>
        </w:tc>
        <w:tc>
          <w:tcPr>
            <w:tcW w:w="2636" w:type="dxa"/>
          </w:tcPr>
          <w:p w14:paraId="4DCF595D" w14:textId="02614962" w:rsidR="001704C5" w:rsidRPr="00064E89" w:rsidRDefault="001704C5" w:rsidP="001704C5">
            <w:pPr>
              <w:keepNext/>
              <w:rPr>
                <w:rFonts w:ascii="Calibri" w:hAnsi="Calibri"/>
                <w:sz w:val="20"/>
                <w:szCs w:val="20"/>
              </w:rPr>
            </w:pPr>
            <w:r w:rsidRPr="00064E89">
              <w:rPr>
                <w:rFonts w:ascii="Calibri" w:hAnsi="Calibri"/>
                <w:sz w:val="20"/>
                <w:szCs w:val="20"/>
              </w:rPr>
              <w:t xml:space="preserve">Methadone is not used to treat acute pain.  Methadone is rarely, if ever, used for chronic pain management. </w:t>
            </w:r>
            <w:r w:rsidRPr="00064E89">
              <w:rPr>
                <w:rFonts w:ascii="Calibri" w:hAnsi="Calibri"/>
                <w:sz w:val="20"/>
                <w:szCs w:val="20"/>
              </w:rPr>
              <w:lastRenderedPageBreak/>
              <w:t xml:space="preserve">Patients on methadone are being limited (or tapered) to 30 mg/day or less. </w:t>
            </w:r>
          </w:p>
        </w:tc>
      </w:tr>
    </w:tbl>
    <w:p w14:paraId="00577BE3" w14:textId="77777777" w:rsidR="00A93F42" w:rsidRPr="00064E89" w:rsidRDefault="00A93F42" w:rsidP="00E04ACE">
      <w:pPr>
        <w:keepNext/>
        <w:ind w:left="360"/>
        <w:rPr>
          <w:rFonts w:ascii="Calibri" w:hAnsi="Calibri"/>
          <w:sz w:val="20"/>
          <w:szCs w:val="20"/>
        </w:rPr>
      </w:pPr>
    </w:p>
    <w:p w14:paraId="37387507" w14:textId="6948E707" w:rsidR="007B637B" w:rsidRPr="00064E89" w:rsidRDefault="004F7A13" w:rsidP="00FE2B39">
      <w:pPr>
        <w:pStyle w:val="H3"/>
        <w:spacing w:after="0"/>
        <w:rPr>
          <w:rFonts w:ascii="Calibri" w:hAnsi="Calibri"/>
          <w:sz w:val="28"/>
          <w:szCs w:val="28"/>
        </w:rPr>
      </w:pPr>
      <w:r w:rsidRPr="00064E89">
        <w:rPr>
          <w:rFonts w:ascii="Calibri" w:hAnsi="Calibri"/>
          <w:sz w:val="28"/>
          <w:szCs w:val="28"/>
        </w:rPr>
        <w:t>Building Block #3:  Tracking Patients</w:t>
      </w:r>
    </w:p>
    <w:tbl>
      <w:tblPr>
        <w:tblStyle w:val="TableGrid"/>
        <w:tblW w:w="0" w:type="auto"/>
        <w:tblLook w:val="04A0" w:firstRow="1" w:lastRow="0" w:firstColumn="1" w:lastColumn="0" w:noHBand="0" w:noVBand="1"/>
      </w:tblPr>
      <w:tblGrid>
        <w:gridCol w:w="2635"/>
        <w:gridCol w:w="2635"/>
        <w:gridCol w:w="2635"/>
        <w:gridCol w:w="2635"/>
        <w:gridCol w:w="2636"/>
      </w:tblGrid>
      <w:tr w:rsidR="001704C5" w:rsidRPr="00064E89" w14:paraId="470A29C1" w14:textId="77777777" w:rsidTr="001704C5">
        <w:tc>
          <w:tcPr>
            <w:tcW w:w="2635" w:type="dxa"/>
          </w:tcPr>
          <w:p w14:paraId="53A21EED" w14:textId="72502A66" w:rsidR="001704C5" w:rsidRPr="00064E89" w:rsidRDefault="001704C5" w:rsidP="00BB25FB">
            <w:pPr>
              <w:keepNext/>
              <w:rPr>
                <w:rFonts w:ascii="Calibri" w:hAnsi="Calibri"/>
                <w:sz w:val="20"/>
                <w:szCs w:val="20"/>
              </w:rPr>
            </w:pPr>
            <w:r w:rsidRPr="00064E89">
              <w:rPr>
                <w:rFonts w:ascii="Calibri" w:hAnsi="Calibri"/>
                <w:sz w:val="20"/>
                <w:szCs w:val="20"/>
              </w:rPr>
              <w:t>Tracking Patients on Opioids (Patient Registries)</w:t>
            </w:r>
          </w:p>
        </w:tc>
        <w:tc>
          <w:tcPr>
            <w:tcW w:w="2635" w:type="dxa"/>
          </w:tcPr>
          <w:p w14:paraId="0D89539A" w14:textId="08777741" w:rsidR="001704C5" w:rsidRPr="00064E89" w:rsidRDefault="001704C5" w:rsidP="00BB25FB">
            <w:pPr>
              <w:keepNext/>
              <w:rPr>
                <w:rFonts w:ascii="Calibri" w:hAnsi="Calibri"/>
                <w:sz w:val="20"/>
                <w:szCs w:val="20"/>
              </w:rPr>
            </w:pPr>
          </w:p>
        </w:tc>
        <w:tc>
          <w:tcPr>
            <w:tcW w:w="2635" w:type="dxa"/>
          </w:tcPr>
          <w:p w14:paraId="6858E4D4" w14:textId="6A26B72D" w:rsidR="001704C5" w:rsidRPr="00064E89" w:rsidRDefault="001704C5" w:rsidP="00BB25FB">
            <w:pPr>
              <w:keepNext/>
              <w:rPr>
                <w:rFonts w:ascii="Calibri" w:hAnsi="Calibri"/>
                <w:sz w:val="20"/>
                <w:szCs w:val="20"/>
              </w:rPr>
            </w:pPr>
          </w:p>
        </w:tc>
        <w:tc>
          <w:tcPr>
            <w:tcW w:w="2635" w:type="dxa"/>
          </w:tcPr>
          <w:p w14:paraId="354F8776" w14:textId="6A4E2CE3" w:rsidR="001704C5" w:rsidRPr="00064E89" w:rsidRDefault="001704C5" w:rsidP="00BB25FB">
            <w:pPr>
              <w:keepNext/>
              <w:rPr>
                <w:rFonts w:ascii="Calibri" w:hAnsi="Calibri"/>
                <w:sz w:val="20"/>
                <w:szCs w:val="20"/>
              </w:rPr>
            </w:pPr>
          </w:p>
        </w:tc>
        <w:tc>
          <w:tcPr>
            <w:tcW w:w="2636" w:type="dxa"/>
          </w:tcPr>
          <w:p w14:paraId="470C89AA" w14:textId="541CDDC0" w:rsidR="001704C5" w:rsidRPr="00064E89" w:rsidRDefault="001704C5" w:rsidP="00BB25FB">
            <w:pPr>
              <w:keepNext/>
              <w:rPr>
                <w:rFonts w:ascii="Calibri" w:hAnsi="Calibri"/>
                <w:sz w:val="20"/>
                <w:szCs w:val="20"/>
              </w:rPr>
            </w:pPr>
          </w:p>
        </w:tc>
      </w:tr>
      <w:tr w:rsidR="001704C5" w:rsidRPr="00064E89" w14:paraId="237159F8" w14:textId="77777777" w:rsidTr="001704C5">
        <w:tc>
          <w:tcPr>
            <w:tcW w:w="2635" w:type="dxa"/>
          </w:tcPr>
          <w:p w14:paraId="6BF0B9A3" w14:textId="42C782E9" w:rsidR="001704C5" w:rsidRPr="00064E89" w:rsidRDefault="001704C5" w:rsidP="008219CF">
            <w:pPr>
              <w:rPr>
                <w:rFonts w:ascii="Calibri" w:hAnsi="Calibri"/>
                <w:sz w:val="20"/>
                <w:szCs w:val="20"/>
              </w:rPr>
            </w:pPr>
          </w:p>
        </w:tc>
        <w:tc>
          <w:tcPr>
            <w:tcW w:w="2635" w:type="dxa"/>
          </w:tcPr>
          <w:p w14:paraId="0D0E8AF8" w14:textId="27344726" w:rsidR="001704C5" w:rsidRPr="00064E89" w:rsidRDefault="001704C5" w:rsidP="008219CF">
            <w:pPr>
              <w:rPr>
                <w:rFonts w:ascii="Calibri" w:hAnsi="Calibri"/>
                <w:sz w:val="20"/>
                <w:szCs w:val="20"/>
              </w:rPr>
            </w:pPr>
            <w:r w:rsidRPr="00064E89">
              <w:rPr>
                <w:rFonts w:ascii="Calibri" w:hAnsi="Calibri"/>
                <w:sz w:val="20"/>
                <w:szCs w:val="20"/>
              </w:rPr>
              <w:t xml:space="preserve">There is no clinic or organization registry for tracking patients on opioids. </w:t>
            </w:r>
          </w:p>
        </w:tc>
        <w:tc>
          <w:tcPr>
            <w:tcW w:w="2635" w:type="dxa"/>
          </w:tcPr>
          <w:p w14:paraId="01F5FD2D" w14:textId="3AB46F81" w:rsidR="001704C5" w:rsidRPr="00064E89" w:rsidRDefault="001704C5" w:rsidP="008219CF">
            <w:pPr>
              <w:rPr>
                <w:rFonts w:ascii="Calibri" w:hAnsi="Calibri"/>
                <w:sz w:val="20"/>
                <w:szCs w:val="20"/>
              </w:rPr>
            </w:pPr>
            <w:r w:rsidRPr="00064E89">
              <w:rPr>
                <w:rFonts w:ascii="Calibri" w:hAnsi="Calibri"/>
                <w:sz w:val="20"/>
                <w:szCs w:val="20"/>
              </w:rPr>
              <w:t xml:space="preserve">The clinic has determined the best approach to creating a registry that can be supported with the clinic’s tools and staff resources, but this has not been implemented. </w:t>
            </w:r>
          </w:p>
        </w:tc>
        <w:tc>
          <w:tcPr>
            <w:tcW w:w="2635" w:type="dxa"/>
          </w:tcPr>
          <w:p w14:paraId="54FE59D9" w14:textId="21D3B696" w:rsidR="001704C5" w:rsidRPr="00064E89" w:rsidRDefault="001704C5" w:rsidP="008219CF">
            <w:pPr>
              <w:rPr>
                <w:rFonts w:ascii="Calibri" w:hAnsi="Calibri"/>
                <w:sz w:val="20"/>
                <w:szCs w:val="20"/>
              </w:rPr>
            </w:pPr>
            <w:r w:rsidRPr="00064E89">
              <w:rPr>
                <w:rFonts w:ascii="Calibri" w:hAnsi="Calibri"/>
                <w:sz w:val="20"/>
                <w:szCs w:val="20"/>
              </w:rPr>
              <w:t xml:space="preserve">The clinic has implemented a registry </w:t>
            </w:r>
            <w:proofErr w:type="gramStart"/>
            <w:r w:rsidRPr="00064E89">
              <w:rPr>
                <w:rFonts w:ascii="Calibri" w:hAnsi="Calibri"/>
                <w:sz w:val="20"/>
                <w:szCs w:val="20"/>
              </w:rPr>
              <w:t>of  patients</w:t>
            </w:r>
            <w:proofErr w:type="gramEnd"/>
            <w:r w:rsidRPr="00064E89">
              <w:rPr>
                <w:rFonts w:ascii="Calibri" w:hAnsi="Calibri"/>
                <w:sz w:val="20"/>
                <w:szCs w:val="20"/>
              </w:rPr>
              <w:t xml:space="preserve"> on opioids that dose levels, functional status, risk level, whether sedatives are co-prescribed and/or tapering has been initiated.   Interim tracking and monitoring is done, but not regularly and/or does not capture the entire population. </w:t>
            </w:r>
          </w:p>
        </w:tc>
        <w:tc>
          <w:tcPr>
            <w:tcW w:w="2636" w:type="dxa"/>
          </w:tcPr>
          <w:p w14:paraId="3CC9C402" w14:textId="099B6DAE" w:rsidR="001704C5" w:rsidRPr="00064E89" w:rsidRDefault="001704C5" w:rsidP="008219CF">
            <w:pPr>
              <w:rPr>
                <w:rFonts w:ascii="Calibri" w:hAnsi="Calibri"/>
                <w:sz w:val="20"/>
                <w:szCs w:val="20"/>
              </w:rPr>
            </w:pPr>
            <w:r w:rsidRPr="00064E89">
              <w:rPr>
                <w:rFonts w:ascii="Calibri" w:hAnsi="Calibri"/>
                <w:sz w:val="20"/>
                <w:szCs w:val="20"/>
              </w:rPr>
              <w:t xml:space="preserve">The registry includes all patients on opioids and is reviewed at least quarterly by clinical leadership and other prescribers to monitor progress towards treatment goals. </w:t>
            </w:r>
          </w:p>
        </w:tc>
      </w:tr>
      <w:tr w:rsidR="001704C5" w:rsidRPr="00064E89" w14:paraId="7C2C8F0A" w14:textId="77777777" w:rsidTr="001704C5">
        <w:tc>
          <w:tcPr>
            <w:tcW w:w="2635" w:type="dxa"/>
          </w:tcPr>
          <w:p w14:paraId="4E953F62" w14:textId="5792CF91" w:rsidR="001704C5" w:rsidRPr="00064E89" w:rsidRDefault="001704C5" w:rsidP="00BB25FB">
            <w:pPr>
              <w:keepNext/>
              <w:rPr>
                <w:rFonts w:ascii="Calibri" w:hAnsi="Calibri"/>
                <w:sz w:val="20"/>
                <w:szCs w:val="20"/>
              </w:rPr>
            </w:pPr>
            <w:r w:rsidRPr="00064E89">
              <w:rPr>
                <w:rFonts w:ascii="Calibri" w:hAnsi="Calibri"/>
                <w:sz w:val="20"/>
                <w:szCs w:val="20"/>
              </w:rPr>
              <w:t>Risk Stratification for Complex Patients</w:t>
            </w:r>
          </w:p>
        </w:tc>
        <w:tc>
          <w:tcPr>
            <w:tcW w:w="2635" w:type="dxa"/>
          </w:tcPr>
          <w:p w14:paraId="4EAD6698" w14:textId="3631BFCC" w:rsidR="001704C5" w:rsidRPr="00064E89" w:rsidRDefault="001704C5" w:rsidP="00BB25FB">
            <w:pPr>
              <w:keepNext/>
              <w:rPr>
                <w:rFonts w:ascii="Calibri" w:hAnsi="Calibri"/>
                <w:sz w:val="20"/>
                <w:szCs w:val="20"/>
              </w:rPr>
            </w:pPr>
          </w:p>
        </w:tc>
        <w:tc>
          <w:tcPr>
            <w:tcW w:w="2635" w:type="dxa"/>
          </w:tcPr>
          <w:p w14:paraId="6D45C6CF" w14:textId="2D97D1F2" w:rsidR="001704C5" w:rsidRPr="00064E89" w:rsidRDefault="001704C5" w:rsidP="00BB25FB">
            <w:pPr>
              <w:keepNext/>
              <w:rPr>
                <w:rFonts w:ascii="Calibri" w:hAnsi="Calibri"/>
                <w:sz w:val="20"/>
                <w:szCs w:val="20"/>
              </w:rPr>
            </w:pPr>
          </w:p>
        </w:tc>
        <w:tc>
          <w:tcPr>
            <w:tcW w:w="2635" w:type="dxa"/>
          </w:tcPr>
          <w:p w14:paraId="28E8DB20" w14:textId="345E0CC7" w:rsidR="001704C5" w:rsidRPr="00064E89" w:rsidRDefault="001704C5" w:rsidP="00BB25FB">
            <w:pPr>
              <w:keepNext/>
              <w:rPr>
                <w:rFonts w:ascii="Calibri" w:hAnsi="Calibri"/>
                <w:sz w:val="20"/>
                <w:szCs w:val="20"/>
              </w:rPr>
            </w:pPr>
          </w:p>
        </w:tc>
        <w:tc>
          <w:tcPr>
            <w:tcW w:w="2636" w:type="dxa"/>
          </w:tcPr>
          <w:p w14:paraId="082B3212" w14:textId="171CFC4C" w:rsidR="001704C5" w:rsidRPr="00064E89" w:rsidRDefault="001704C5" w:rsidP="00BB25FB">
            <w:pPr>
              <w:keepNext/>
              <w:rPr>
                <w:rFonts w:ascii="Calibri" w:hAnsi="Calibri"/>
                <w:sz w:val="20"/>
                <w:szCs w:val="20"/>
              </w:rPr>
            </w:pPr>
          </w:p>
        </w:tc>
      </w:tr>
      <w:tr w:rsidR="001704C5" w:rsidRPr="00064E89" w14:paraId="49D76DFF" w14:textId="77777777" w:rsidTr="001704C5">
        <w:tc>
          <w:tcPr>
            <w:tcW w:w="2635" w:type="dxa"/>
          </w:tcPr>
          <w:p w14:paraId="54785CCE" w14:textId="64279C58" w:rsidR="001704C5" w:rsidRPr="00064E89" w:rsidRDefault="001704C5" w:rsidP="008219CF">
            <w:pPr>
              <w:rPr>
                <w:rFonts w:ascii="Calibri" w:hAnsi="Calibri"/>
                <w:sz w:val="20"/>
                <w:szCs w:val="20"/>
              </w:rPr>
            </w:pPr>
          </w:p>
        </w:tc>
        <w:tc>
          <w:tcPr>
            <w:tcW w:w="2635" w:type="dxa"/>
          </w:tcPr>
          <w:p w14:paraId="288D3383" w14:textId="6CDC89D5" w:rsidR="001704C5" w:rsidRPr="00064E89" w:rsidRDefault="001704C5" w:rsidP="008219CF">
            <w:pPr>
              <w:rPr>
                <w:rFonts w:ascii="Calibri" w:hAnsi="Calibri"/>
                <w:sz w:val="20"/>
                <w:szCs w:val="20"/>
              </w:rPr>
            </w:pPr>
            <w:r w:rsidRPr="00064E89">
              <w:rPr>
                <w:rFonts w:ascii="Calibri" w:hAnsi="Calibri"/>
                <w:sz w:val="20"/>
                <w:szCs w:val="20"/>
              </w:rPr>
              <w:t xml:space="preserve">There is no current process for tracking high risk patients. </w:t>
            </w:r>
          </w:p>
        </w:tc>
        <w:tc>
          <w:tcPr>
            <w:tcW w:w="2635" w:type="dxa"/>
          </w:tcPr>
          <w:p w14:paraId="4BFDF8EA" w14:textId="6422AD24" w:rsidR="001704C5" w:rsidRPr="00064E89" w:rsidRDefault="001704C5" w:rsidP="008219CF">
            <w:pPr>
              <w:rPr>
                <w:rFonts w:ascii="Calibri" w:hAnsi="Calibri"/>
                <w:sz w:val="20"/>
                <w:szCs w:val="20"/>
              </w:rPr>
            </w:pPr>
            <w:r w:rsidRPr="00064E89">
              <w:rPr>
                <w:rFonts w:ascii="Calibri" w:hAnsi="Calibri"/>
                <w:sz w:val="20"/>
                <w:szCs w:val="20"/>
              </w:rPr>
              <w:t xml:space="preserve">The definition of high risk patients is agreed upon by leadership and providers. High risk patients are identified, but not in a systematic way. </w:t>
            </w:r>
          </w:p>
        </w:tc>
        <w:tc>
          <w:tcPr>
            <w:tcW w:w="2635" w:type="dxa"/>
          </w:tcPr>
          <w:p w14:paraId="6942F80E" w14:textId="7D3647C5" w:rsidR="001704C5" w:rsidRPr="00064E89" w:rsidRDefault="001704C5" w:rsidP="008219CF">
            <w:pPr>
              <w:rPr>
                <w:rFonts w:ascii="Calibri" w:hAnsi="Calibri"/>
                <w:sz w:val="20"/>
                <w:szCs w:val="20"/>
              </w:rPr>
            </w:pPr>
            <w:r w:rsidRPr="00064E89">
              <w:rPr>
                <w:rFonts w:ascii="Calibri" w:hAnsi="Calibri"/>
                <w:sz w:val="20"/>
                <w:szCs w:val="20"/>
              </w:rPr>
              <w:t xml:space="preserve">A tracking mechanism identifies all complex or high risk patients, but there is not a systematic process to monitor progress and safety for patients in those categories. </w:t>
            </w:r>
          </w:p>
        </w:tc>
        <w:tc>
          <w:tcPr>
            <w:tcW w:w="2636" w:type="dxa"/>
          </w:tcPr>
          <w:p w14:paraId="49332320" w14:textId="7C8FAB30" w:rsidR="001704C5" w:rsidRPr="00064E89" w:rsidRDefault="001704C5" w:rsidP="008219CF">
            <w:pPr>
              <w:rPr>
                <w:rFonts w:ascii="Calibri" w:hAnsi="Calibri"/>
                <w:sz w:val="20"/>
                <w:szCs w:val="20"/>
              </w:rPr>
            </w:pPr>
            <w:proofErr w:type="gramStart"/>
            <w:r w:rsidRPr="00064E89">
              <w:rPr>
                <w:rFonts w:ascii="Calibri" w:hAnsi="Calibri"/>
                <w:sz w:val="20"/>
                <w:szCs w:val="20"/>
              </w:rPr>
              <w:t>All of the</w:t>
            </w:r>
            <w:proofErr w:type="gramEnd"/>
            <w:r w:rsidRPr="00064E89">
              <w:rPr>
                <w:rFonts w:ascii="Calibri" w:hAnsi="Calibri"/>
                <w:sz w:val="20"/>
                <w:szCs w:val="20"/>
              </w:rPr>
              <w:t xml:space="preserve"> above, plus: ALL high risk, complex pain patients are reviewed at least monthly, by PCP, care team and clinic leadership to ensure progress towards goals and patient safety. </w:t>
            </w:r>
          </w:p>
        </w:tc>
      </w:tr>
    </w:tbl>
    <w:p w14:paraId="68A3B4A3" w14:textId="77777777" w:rsidR="00A93F42" w:rsidRPr="00064E89" w:rsidRDefault="00A93F42" w:rsidP="00E04ACE">
      <w:pPr>
        <w:keepNext/>
        <w:ind w:left="360"/>
        <w:rPr>
          <w:rFonts w:ascii="Calibri" w:hAnsi="Calibri"/>
          <w:sz w:val="20"/>
          <w:szCs w:val="20"/>
        </w:rPr>
      </w:pPr>
    </w:p>
    <w:p w14:paraId="6B55CBB8" w14:textId="6101B573" w:rsidR="007B637B" w:rsidRPr="00064E89" w:rsidRDefault="004F7A13" w:rsidP="00FE2B39">
      <w:pPr>
        <w:pStyle w:val="H3"/>
        <w:spacing w:after="0"/>
        <w:rPr>
          <w:rFonts w:ascii="Calibri" w:hAnsi="Calibri"/>
          <w:sz w:val="28"/>
          <w:szCs w:val="28"/>
        </w:rPr>
      </w:pPr>
      <w:r w:rsidRPr="00064E89">
        <w:rPr>
          <w:rFonts w:ascii="Calibri" w:hAnsi="Calibri"/>
          <w:sz w:val="28"/>
          <w:szCs w:val="28"/>
        </w:rPr>
        <w:t>Building Block #4: Patient-Centered Visits</w:t>
      </w:r>
    </w:p>
    <w:tbl>
      <w:tblPr>
        <w:tblStyle w:val="TableGrid"/>
        <w:tblW w:w="0" w:type="auto"/>
        <w:tblLook w:val="04A0" w:firstRow="1" w:lastRow="0" w:firstColumn="1" w:lastColumn="0" w:noHBand="0" w:noVBand="1"/>
      </w:tblPr>
      <w:tblGrid>
        <w:gridCol w:w="2635"/>
        <w:gridCol w:w="2635"/>
        <w:gridCol w:w="2635"/>
        <w:gridCol w:w="2635"/>
        <w:gridCol w:w="2636"/>
      </w:tblGrid>
      <w:tr w:rsidR="001704C5" w:rsidRPr="00064E89" w14:paraId="443F8FD7" w14:textId="77777777" w:rsidTr="001704C5">
        <w:tc>
          <w:tcPr>
            <w:tcW w:w="2635" w:type="dxa"/>
          </w:tcPr>
          <w:p w14:paraId="10BF8959" w14:textId="77777777" w:rsidR="001704C5" w:rsidRPr="00064E89" w:rsidRDefault="001704C5" w:rsidP="00C96187">
            <w:pPr>
              <w:keepNext/>
              <w:rPr>
                <w:rFonts w:ascii="Calibri" w:hAnsi="Calibri"/>
                <w:sz w:val="20"/>
                <w:szCs w:val="20"/>
              </w:rPr>
            </w:pPr>
            <w:r w:rsidRPr="00064E89">
              <w:rPr>
                <w:rFonts w:ascii="Calibri" w:hAnsi="Calibri"/>
                <w:sz w:val="20"/>
                <w:szCs w:val="20"/>
              </w:rPr>
              <w:t>Planned Patient Visits</w:t>
            </w:r>
          </w:p>
        </w:tc>
        <w:tc>
          <w:tcPr>
            <w:tcW w:w="2635" w:type="dxa"/>
          </w:tcPr>
          <w:p w14:paraId="1F04DB06" w14:textId="634D3501" w:rsidR="001704C5" w:rsidRPr="00064E89" w:rsidRDefault="001704C5" w:rsidP="00C96187">
            <w:pPr>
              <w:keepNext/>
              <w:rPr>
                <w:rFonts w:ascii="Calibri" w:hAnsi="Calibri"/>
                <w:sz w:val="20"/>
                <w:szCs w:val="20"/>
              </w:rPr>
            </w:pPr>
          </w:p>
        </w:tc>
        <w:tc>
          <w:tcPr>
            <w:tcW w:w="2635" w:type="dxa"/>
          </w:tcPr>
          <w:p w14:paraId="185337CB" w14:textId="23F757E8" w:rsidR="001704C5" w:rsidRPr="00064E89" w:rsidRDefault="001704C5" w:rsidP="00C96187">
            <w:pPr>
              <w:keepNext/>
              <w:rPr>
                <w:rFonts w:ascii="Calibri" w:hAnsi="Calibri"/>
                <w:sz w:val="20"/>
                <w:szCs w:val="20"/>
              </w:rPr>
            </w:pPr>
          </w:p>
        </w:tc>
        <w:tc>
          <w:tcPr>
            <w:tcW w:w="2635" w:type="dxa"/>
          </w:tcPr>
          <w:p w14:paraId="4B902C94" w14:textId="62F43260" w:rsidR="001704C5" w:rsidRPr="00064E89" w:rsidRDefault="001704C5" w:rsidP="00C96187">
            <w:pPr>
              <w:keepNext/>
              <w:rPr>
                <w:rFonts w:ascii="Calibri" w:hAnsi="Calibri"/>
                <w:sz w:val="20"/>
                <w:szCs w:val="20"/>
              </w:rPr>
            </w:pPr>
          </w:p>
        </w:tc>
        <w:tc>
          <w:tcPr>
            <w:tcW w:w="2636" w:type="dxa"/>
          </w:tcPr>
          <w:p w14:paraId="750B0EB1" w14:textId="4D3D7793" w:rsidR="001704C5" w:rsidRPr="00064E89" w:rsidRDefault="001704C5" w:rsidP="00C96187">
            <w:pPr>
              <w:keepNext/>
              <w:rPr>
                <w:rFonts w:ascii="Calibri" w:hAnsi="Calibri"/>
                <w:sz w:val="20"/>
                <w:szCs w:val="20"/>
              </w:rPr>
            </w:pPr>
          </w:p>
        </w:tc>
      </w:tr>
      <w:tr w:rsidR="001704C5" w:rsidRPr="00064E89" w14:paraId="7050CCA0" w14:textId="77777777" w:rsidTr="001704C5">
        <w:tc>
          <w:tcPr>
            <w:tcW w:w="2635" w:type="dxa"/>
          </w:tcPr>
          <w:p w14:paraId="557E088A" w14:textId="7644BD0A" w:rsidR="001704C5" w:rsidRPr="00064E89" w:rsidRDefault="001704C5" w:rsidP="001704C5">
            <w:pPr>
              <w:rPr>
                <w:rFonts w:ascii="Calibri" w:hAnsi="Calibri"/>
                <w:sz w:val="20"/>
                <w:szCs w:val="20"/>
              </w:rPr>
            </w:pPr>
          </w:p>
        </w:tc>
        <w:tc>
          <w:tcPr>
            <w:tcW w:w="2635" w:type="dxa"/>
          </w:tcPr>
          <w:p w14:paraId="5F1A8360" w14:textId="09A975D7" w:rsidR="001704C5" w:rsidRPr="00064E89" w:rsidRDefault="001704C5" w:rsidP="001704C5">
            <w:pPr>
              <w:rPr>
                <w:rFonts w:ascii="Calibri" w:hAnsi="Calibri"/>
                <w:sz w:val="20"/>
                <w:szCs w:val="20"/>
              </w:rPr>
            </w:pPr>
            <w:r w:rsidRPr="00064E89">
              <w:rPr>
                <w:rFonts w:ascii="Calibri" w:hAnsi="Calibri"/>
                <w:sz w:val="20"/>
                <w:szCs w:val="20"/>
              </w:rPr>
              <w:t xml:space="preserve">Patient visits are not known in advance by the care team. </w:t>
            </w:r>
          </w:p>
        </w:tc>
        <w:tc>
          <w:tcPr>
            <w:tcW w:w="2635" w:type="dxa"/>
          </w:tcPr>
          <w:p w14:paraId="172EF3A3" w14:textId="2B8BF79F" w:rsidR="001704C5" w:rsidRPr="00064E89" w:rsidRDefault="001704C5" w:rsidP="001704C5">
            <w:pPr>
              <w:rPr>
                <w:rFonts w:ascii="Calibri" w:hAnsi="Calibri"/>
                <w:sz w:val="20"/>
                <w:szCs w:val="20"/>
              </w:rPr>
            </w:pPr>
            <w:r w:rsidRPr="00064E89">
              <w:rPr>
                <w:rFonts w:ascii="Calibri" w:hAnsi="Calibri"/>
                <w:sz w:val="20"/>
                <w:szCs w:val="20"/>
              </w:rPr>
              <w:t xml:space="preserve">Visits are known in advance by the care team, but there are no advance preparations for the visit (PDMP review, chart review, or team discussion). </w:t>
            </w:r>
          </w:p>
        </w:tc>
        <w:tc>
          <w:tcPr>
            <w:tcW w:w="2635" w:type="dxa"/>
          </w:tcPr>
          <w:p w14:paraId="7F456E0E" w14:textId="33A76109" w:rsidR="001704C5" w:rsidRPr="00064E89" w:rsidRDefault="001704C5" w:rsidP="001704C5">
            <w:pPr>
              <w:rPr>
                <w:rFonts w:ascii="Calibri" w:hAnsi="Calibri"/>
                <w:sz w:val="20"/>
                <w:szCs w:val="20"/>
              </w:rPr>
            </w:pPr>
            <w:r w:rsidRPr="00064E89">
              <w:rPr>
                <w:rFonts w:ascii="Calibri" w:hAnsi="Calibri"/>
                <w:sz w:val="20"/>
                <w:szCs w:val="20"/>
              </w:rPr>
              <w:t xml:space="preserve">Visits are known by the care team.  Advance preparations usually occur, including a chart review, looking up prescription activity on the PDMP, and discussing the case with the care team. </w:t>
            </w:r>
          </w:p>
        </w:tc>
        <w:tc>
          <w:tcPr>
            <w:tcW w:w="2636" w:type="dxa"/>
          </w:tcPr>
          <w:p w14:paraId="259C17FB" w14:textId="19C40ECF" w:rsidR="001704C5" w:rsidRPr="00064E89" w:rsidRDefault="001704C5" w:rsidP="001704C5">
            <w:pPr>
              <w:rPr>
                <w:rFonts w:ascii="Calibri" w:hAnsi="Calibri"/>
                <w:sz w:val="20"/>
                <w:szCs w:val="20"/>
              </w:rPr>
            </w:pPr>
            <w:r w:rsidRPr="00064E89">
              <w:rPr>
                <w:rFonts w:ascii="Calibri" w:hAnsi="Calibri"/>
                <w:sz w:val="20"/>
                <w:szCs w:val="20"/>
              </w:rPr>
              <w:t xml:space="preserve">Before routine clinic visits all patients with persistent pain are in a registry. The clinic notes, PDMP, etc. are discussed in advance to prepare for the visit. If need for behavioral health (or PT, </w:t>
            </w:r>
            <w:r w:rsidRPr="00064E89">
              <w:rPr>
                <w:rFonts w:ascii="Calibri" w:hAnsi="Calibri"/>
                <w:sz w:val="20"/>
                <w:szCs w:val="20"/>
              </w:rPr>
              <w:lastRenderedPageBreak/>
              <w:t xml:space="preserve">etc.) is anticipated, a list of available </w:t>
            </w:r>
            <w:r w:rsidRPr="00064E89">
              <w:rPr>
                <w:rFonts w:ascii="Calibri" w:hAnsi="Calibri"/>
                <w:sz w:val="20"/>
                <w:szCs w:val="20"/>
              </w:rPr>
              <w:t>local or regional resources is available.  Open conversations with recommendations from the last visit, e.g. "Nice to see you today. How did your referral to a counselor, therapist, PT go for you?"</w:t>
            </w:r>
            <w:r w:rsidRPr="00064E89">
              <w:rPr>
                <w:rFonts w:ascii="Calibri" w:hAnsi="Calibri"/>
                <w:sz w:val="20"/>
                <w:szCs w:val="20"/>
              </w:rPr>
              <w:t xml:space="preserve"> </w:t>
            </w:r>
          </w:p>
        </w:tc>
      </w:tr>
      <w:tr w:rsidR="001704C5" w:rsidRPr="00064E89" w14:paraId="7F72E23A" w14:textId="77777777" w:rsidTr="001704C5">
        <w:tc>
          <w:tcPr>
            <w:tcW w:w="2635" w:type="dxa"/>
          </w:tcPr>
          <w:p w14:paraId="66C70B29" w14:textId="77777777" w:rsidR="001704C5" w:rsidRPr="00064E89" w:rsidRDefault="001704C5" w:rsidP="00C96187">
            <w:pPr>
              <w:keepNext/>
              <w:rPr>
                <w:rFonts w:ascii="Calibri" w:hAnsi="Calibri"/>
                <w:sz w:val="20"/>
                <w:szCs w:val="20"/>
              </w:rPr>
            </w:pPr>
            <w:r w:rsidRPr="00064E89">
              <w:rPr>
                <w:rFonts w:ascii="Calibri" w:hAnsi="Calibri"/>
                <w:sz w:val="20"/>
                <w:szCs w:val="20"/>
              </w:rPr>
              <w:lastRenderedPageBreak/>
              <w:t>Workflows for Planned Visits</w:t>
            </w:r>
          </w:p>
        </w:tc>
        <w:tc>
          <w:tcPr>
            <w:tcW w:w="2635" w:type="dxa"/>
          </w:tcPr>
          <w:p w14:paraId="7D04199A" w14:textId="1178D3B3" w:rsidR="001704C5" w:rsidRPr="00064E89" w:rsidRDefault="001704C5" w:rsidP="00C96187">
            <w:pPr>
              <w:keepNext/>
              <w:rPr>
                <w:rFonts w:ascii="Calibri" w:hAnsi="Calibri"/>
                <w:sz w:val="20"/>
                <w:szCs w:val="20"/>
              </w:rPr>
            </w:pPr>
          </w:p>
        </w:tc>
        <w:tc>
          <w:tcPr>
            <w:tcW w:w="2635" w:type="dxa"/>
          </w:tcPr>
          <w:p w14:paraId="215736DD" w14:textId="635E2BDA" w:rsidR="001704C5" w:rsidRPr="00064E89" w:rsidRDefault="001704C5" w:rsidP="00C96187">
            <w:pPr>
              <w:keepNext/>
              <w:rPr>
                <w:rFonts w:ascii="Calibri" w:hAnsi="Calibri"/>
                <w:sz w:val="20"/>
                <w:szCs w:val="20"/>
              </w:rPr>
            </w:pPr>
          </w:p>
        </w:tc>
        <w:tc>
          <w:tcPr>
            <w:tcW w:w="2635" w:type="dxa"/>
          </w:tcPr>
          <w:p w14:paraId="29E070F6" w14:textId="2EC54262" w:rsidR="001704C5" w:rsidRPr="00064E89" w:rsidRDefault="001704C5" w:rsidP="00C96187">
            <w:pPr>
              <w:keepNext/>
              <w:rPr>
                <w:rFonts w:ascii="Calibri" w:hAnsi="Calibri"/>
                <w:sz w:val="20"/>
                <w:szCs w:val="20"/>
              </w:rPr>
            </w:pPr>
          </w:p>
        </w:tc>
        <w:tc>
          <w:tcPr>
            <w:tcW w:w="2636" w:type="dxa"/>
          </w:tcPr>
          <w:p w14:paraId="225A5B72" w14:textId="60906A90" w:rsidR="001704C5" w:rsidRPr="00064E89" w:rsidRDefault="001704C5" w:rsidP="00C96187">
            <w:pPr>
              <w:keepNext/>
              <w:rPr>
                <w:rFonts w:ascii="Calibri" w:hAnsi="Calibri"/>
                <w:sz w:val="20"/>
                <w:szCs w:val="20"/>
              </w:rPr>
            </w:pPr>
          </w:p>
        </w:tc>
      </w:tr>
      <w:tr w:rsidR="001704C5" w:rsidRPr="00064E89" w14:paraId="236902C6" w14:textId="77777777" w:rsidTr="001704C5">
        <w:tc>
          <w:tcPr>
            <w:tcW w:w="2635" w:type="dxa"/>
          </w:tcPr>
          <w:p w14:paraId="755DC5A6" w14:textId="7ADB117C" w:rsidR="001704C5" w:rsidRPr="00064E89" w:rsidRDefault="001704C5" w:rsidP="001704C5">
            <w:pPr>
              <w:rPr>
                <w:rFonts w:ascii="Calibri" w:hAnsi="Calibri"/>
                <w:sz w:val="20"/>
                <w:szCs w:val="20"/>
              </w:rPr>
            </w:pPr>
          </w:p>
        </w:tc>
        <w:tc>
          <w:tcPr>
            <w:tcW w:w="2635" w:type="dxa"/>
          </w:tcPr>
          <w:p w14:paraId="297477CD" w14:textId="06DBDBC2" w:rsidR="001704C5" w:rsidRPr="00064E89" w:rsidRDefault="001704C5" w:rsidP="001704C5">
            <w:pPr>
              <w:rPr>
                <w:rFonts w:ascii="Calibri" w:hAnsi="Calibri"/>
                <w:sz w:val="20"/>
                <w:szCs w:val="20"/>
              </w:rPr>
            </w:pPr>
            <w:r w:rsidRPr="00064E89">
              <w:rPr>
                <w:rFonts w:ascii="Calibri" w:hAnsi="Calibri"/>
                <w:sz w:val="20"/>
                <w:szCs w:val="20"/>
              </w:rPr>
              <w:t xml:space="preserve">The workflows needed to plan for a visit with patients receiving or potentially initiating complex opioid treatment have not been defined and are not known. </w:t>
            </w:r>
          </w:p>
        </w:tc>
        <w:tc>
          <w:tcPr>
            <w:tcW w:w="2635" w:type="dxa"/>
          </w:tcPr>
          <w:p w14:paraId="7424CF1B" w14:textId="0BE84463" w:rsidR="001704C5" w:rsidRPr="00064E89" w:rsidRDefault="001704C5" w:rsidP="001704C5">
            <w:pPr>
              <w:rPr>
                <w:rFonts w:ascii="Calibri" w:hAnsi="Calibri"/>
                <w:sz w:val="20"/>
                <w:szCs w:val="20"/>
              </w:rPr>
            </w:pPr>
            <w:r w:rsidRPr="00064E89">
              <w:rPr>
                <w:rFonts w:ascii="Calibri" w:hAnsi="Calibri"/>
                <w:sz w:val="20"/>
                <w:szCs w:val="20"/>
              </w:rPr>
              <w:t xml:space="preserve">The workflows needed to plan for a visit with complex opioid patients have been defined, but implementation has not yet begun. </w:t>
            </w:r>
          </w:p>
        </w:tc>
        <w:tc>
          <w:tcPr>
            <w:tcW w:w="2635" w:type="dxa"/>
          </w:tcPr>
          <w:p w14:paraId="432A44A1" w14:textId="3136FBFB" w:rsidR="001704C5" w:rsidRPr="00064E89" w:rsidRDefault="001704C5" w:rsidP="001704C5">
            <w:pPr>
              <w:rPr>
                <w:rFonts w:ascii="Calibri" w:hAnsi="Calibri"/>
                <w:sz w:val="20"/>
                <w:szCs w:val="20"/>
              </w:rPr>
            </w:pPr>
            <w:r w:rsidRPr="00064E89">
              <w:rPr>
                <w:rFonts w:ascii="Calibri" w:hAnsi="Calibri"/>
                <w:sz w:val="20"/>
                <w:szCs w:val="20"/>
              </w:rPr>
              <w:t xml:space="preserve">Workflows have been defined, but tasks are not delegated across the team and implementation is inconsistent. </w:t>
            </w:r>
          </w:p>
        </w:tc>
        <w:tc>
          <w:tcPr>
            <w:tcW w:w="2636" w:type="dxa"/>
          </w:tcPr>
          <w:p w14:paraId="4797BE36" w14:textId="3D697077" w:rsidR="001704C5" w:rsidRPr="00064E89" w:rsidRDefault="001704C5" w:rsidP="001704C5">
            <w:pPr>
              <w:rPr>
                <w:rFonts w:ascii="Calibri" w:hAnsi="Calibri"/>
                <w:sz w:val="20"/>
                <w:szCs w:val="20"/>
              </w:rPr>
            </w:pPr>
            <w:r w:rsidRPr="00064E89">
              <w:rPr>
                <w:rFonts w:ascii="Calibri" w:hAnsi="Calibri"/>
                <w:sz w:val="20"/>
                <w:szCs w:val="20"/>
              </w:rPr>
              <w:t xml:space="preserve">Workflows for planning visits by complex opioid patients have been defined and are consistently implemented by all team members. </w:t>
            </w:r>
          </w:p>
        </w:tc>
      </w:tr>
    </w:tbl>
    <w:p w14:paraId="0E9C21A7" w14:textId="77777777" w:rsidR="008219CF" w:rsidRPr="00064E89" w:rsidRDefault="008219CF">
      <w:pPr>
        <w:rPr>
          <w:rFonts w:ascii="Calibri" w:hAnsi="Calibri"/>
        </w:rPr>
      </w:pPr>
    </w:p>
    <w:p w14:paraId="16C3AE3B" w14:textId="77777777" w:rsidR="008219CF" w:rsidRPr="00064E89" w:rsidRDefault="008219CF">
      <w:pPr>
        <w:rPr>
          <w:rFonts w:ascii="Calibri" w:hAnsi="Calibri"/>
        </w:rPr>
      </w:pPr>
      <w:r w:rsidRPr="00064E89">
        <w:rPr>
          <w:rFonts w:ascii="Calibri" w:hAnsi="Calibri"/>
        </w:rPr>
        <w:br w:type="page"/>
      </w:r>
    </w:p>
    <w:tbl>
      <w:tblPr>
        <w:tblStyle w:val="TableGrid"/>
        <w:tblW w:w="0" w:type="auto"/>
        <w:tblLook w:val="04A0" w:firstRow="1" w:lastRow="0" w:firstColumn="1" w:lastColumn="0" w:noHBand="0" w:noVBand="1"/>
      </w:tblPr>
      <w:tblGrid>
        <w:gridCol w:w="2635"/>
        <w:gridCol w:w="2635"/>
        <w:gridCol w:w="2635"/>
        <w:gridCol w:w="2635"/>
        <w:gridCol w:w="2636"/>
      </w:tblGrid>
      <w:tr w:rsidR="001704C5" w:rsidRPr="00064E89" w14:paraId="5BEA48E2" w14:textId="77777777" w:rsidTr="001704C5">
        <w:tc>
          <w:tcPr>
            <w:tcW w:w="2635" w:type="dxa"/>
          </w:tcPr>
          <w:p w14:paraId="6BFFC780" w14:textId="77777777" w:rsidR="001704C5" w:rsidRPr="00064E89" w:rsidRDefault="001704C5" w:rsidP="00C96187">
            <w:pPr>
              <w:keepNext/>
              <w:rPr>
                <w:rFonts w:ascii="Calibri" w:hAnsi="Calibri"/>
                <w:sz w:val="20"/>
                <w:szCs w:val="20"/>
              </w:rPr>
            </w:pPr>
            <w:r w:rsidRPr="00064E89">
              <w:rPr>
                <w:rFonts w:ascii="Calibri" w:hAnsi="Calibri"/>
                <w:sz w:val="20"/>
                <w:szCs w:val="20"/>
              </w:rPr>
              <w:lastRenderedPageBreak/>
              <w:t>Empathic Patient Communication</w:t>
            </w:r>
          </w:p>
        </w:tc>
        <w:tc>
          <w:tcPr>
            <w:tcW w:w="2635" w:type="dxa"/>
          </w:tcPr>
          <w:p w14:paraId="4E9570EF" w14:textId="110C4D8A" w:rsidR="001704C5" w:rsidRPr="00064E89" w:rsidRDefault="001704C5" w:rsidP="00C96187">
            <w:pPr>
              <w:keepNext/>
              <w:rPr>
                <w:rFonts w:ascii="Calibri" w:hAnsi="Calibri"/>
                <w:sz w:val="20"/>
                <w:szCs w:val="20"/>
              </w:rPr>
            </w:pPr>
          </w:p>
        </w:tc>
        <w:tc>
          <w:tcPr>
            <w:tcW w:w="2635" w:type="dxa"/>
          </w:tcPr>
          <w:p w14:paraId="561A6F58" w14:textId="2007657A" w:rsidR="001704C5" w:rsidRPr="00064E89" w:rsidRDefault="001704C5" w:rsidP="00C96187">
            <w:pPr>
              <w:keepNext/>
              <w:rPr>
                <w:rFonts w:ascii="Calibri" w:hAnsi="Calibri"/>
                <w:sz w:val="20"/>
                <w:szCs w:val="20"/>
              </w:rPr>
            </w:pPr>
          </w:p>
        </w:tc>
        <w:tc>
          <w:tcPr>
            <w:tcW w:w="2635" w:type="dxa"/>
          </w:tcPr>
          <w:p w14:paraId="4F2E59BC" w14:textId="56CCB197" w:rsidR="001704C5" w:rsidRPr="00064E89" w:rsidRDefault="001704C5" w:rsidP="00C96187">
            <w:pPr>
              <w:keepNext/>
              <w:rPr>
                <w:rFonts w:ascii="Calibri" w:hAnsi="Calibri"/>
                <w:sz w:val="20"/>
                <w:szCs w:val="20"/>
              </w:rPr>
            </w:pPr>
          </w:p>
        </w:tc>
        <w:tc>
          <w:tcPr>
            <w:tcW w:w="2636" w:type="dxa"/>
          </w:tcPr>
          <w:p w14:paraId="4035682C" w14:textId="05C5D782" w:rsidR="001704C5" w:rsidRPr="00064E89" w:rsidRDefault="001704C5" w:rsidP="00C96187">
            <w:pPr>
              <w:keepNext/>
              <w:rPr>
                <w:rFonts w:ascii="Calibri" w:hAnsi="Calibri"/>
                <w:sz w:val="20"/>
                <w:szCs w:val="20"/>
              </w:rPr>
            </w:pPr>
          </w:p>
        </w:tc>
      </w:tr>
      <w:tr w:rsidR="001704C5" w:rsidRPr="00064E89" w14:paraId="12470F4D" w14:textId="77777777" w:rsidTr="001704C5">
        <w:tc>
          <w:tcPr>
            <w:tcW w:w="2635" w:type="dxa"/>
          </w:tcPr>
          <w:p w14:paraId="45FAEB54" w14:textId="0CEC58DA" w:rsidR="001704C5" w:rsidRPr="00064E89" w:rsidRDefault="001704C5" w:rsidP="001704C5">
            <w:pPr>
              <w:rPr>
                <w:rFonts w:ascii="Calibri" w:hAnsi="Calibri"/>
                <w:sz w:val="20"/>
                <w:szCs w:val="20"/>
              </w:rPr>
            </w:pPr>
          </w:p>
        </w:tc>
        <w:tc>
          <w:tcPr>
            <w:tcW w:w="2635" w:type="dxa"/>
          </w:tcPr>
          <w:p w14:paraId="07FA8222" w14:textId="4467B82E" w:rsidR="001704C5" w:rsidRPr="00064E89" w:rsidRDefault="001704C5" w:rsidP="001704C5">
            <w:pPr>
              <w:rPr>
                <w:rFonts w:ascii="Calibri" w:hAnsi="Calibri"/>
                <w:sz w:val="20"/>
                <w:szCs w:val="20"/>
              </w:rPr>
            </w:pPr>
            <w:r w:rsidRPr="00064E89">
              <w:rPr>
                <w:rFonts w:ascii="Calibri" w:hAnsi="Calibri"/>
                <w:sz w:val="20"/>
                <w:szCs w:val="20"/>
              </w:rPr>
              <w:t xml:space="preserve">"I'm being forced to reduce your medication." Communication around reducing opioids includes forced taper or discontinuation of opioids, blaming someone else for the decision to taper, and no shared decision making with the patient. There is no discussion of safety, co-prescribing naloxone or referrals to other services or outside supports. </w:t>
            </w:r>
          </w:p>
        </w:tc>
        <w:tc>
          <w:tcPr>
            <w:tcW w:w="2635" w:type="dxa"/>
          </w:tcPr>
          <w:p w14:paraId="4FCDCE42" w14:textId="5A5B5293" w:rsidR="001704C5" w:rsidRPr="00064E89" w:rsidRDefault="001704C5" w:rsidP="001704C5">
            <w:pPr>
              <w:rPr>
                <w:rFonts w:ascii="Calibri" w:hAnsi="Calibri"/>
                <w:sz w:val="20"/>
                <w:szCs w:val="20"/>
              </w:rPr>
            </w:pPr>
            <w:r w:rsidRPr="00064E89">
              <w:rPr>
                <w:rFonts w:ascii="Calibri" w:hAnsi="Calibri"/>
                <w:sz w:val="20"/>
                <w:szCs w:val="20"/>
              </w:rPr>
              <w:t xml:space="preserve">"Your risky behavior makes it necessary for me to taper your medications."  Communication includes forced taper or discontinuation of opioids, patient blaming and minimal shared decision making. There is no discussion of safety, co-prescribing naloxone or referrals to other services or outside supports. </w:t>
            </w:r>
          </w:p>
        </w:tc>
        <w:tc>
          <w:tcPr>
            <w:tcW w:w="2635" w:type="dxa"/>
          </w:tcPr>
          <w:p w14:paraId="56312D9D" w14:textId="52A831F1" w:rsidR="001704C5" w:rsidRPr="00064E89" w:rsidRDefault="001704C5" w:rsidP="001704C5">
            <w:pPr>
              <w:rPr>
                <w:rFonts w:ascii="Calibri" w:hAnsi="Calibri"/>
                <w:sz w:val="20"/>
                <w:szCs w:val="20"/>
              </w:rPr>
            </w:pPr>
            <w:r w:rsidRPr="00064E89">
              <w:rPr>
                <w:rFonts w:ascii="Calibri" w:hAnsi="Calibri"/>
                <w:sz w:val="20"/>
                <w:szCs w:val="20"/>
              </w:rPr>
              <w:t xml:space="preserve">"This medication is very </w:t>
            </w:r>
            <w:proofErr w:type="gramStart"/>
            <w:r w:rsidRPr="00064E89">
              <w:rPr>
                <w:rFonts w:ascii="Calibri" w:hAnsi="Calibri"/>
                <w:sz w:val="20"/>
                <w:szCs w:val="20"/>
              </w:rPr>
              <w:t>risky,</w:t>
            </w:r>
            <w:proofErr w:type="gramEnd"/>
            <w:r w:rsidRPr="00064E89">
              <w:rPr>
                <w:rFonts w:ascii="Calibri" w:hAnsi="Calibri"/>
                <w:sz w:val="20"/>
                <w:szCs w:val="20"/>
              </w:rPr>
              <w:t xml:space="preserve"> we need to start making some changes."  Communication includes a safety and a moderate amount of shared decision making.  Naloxone can be co-prescribed, but there are no referrals to other services or outside supports. </w:t>
            </w:r>
          </w:p>
        </w:tc>
        <w:tc>
          <w:tcPr>
            <w:tcW w:w="2636" w:type="dxa"/>
          </w:tcPr>
          <w:p w14:paraId="1DE917E9" w14:textId="0FB491C0" w:rsidR="001704C5" w:rsidRPr="00064E89" w:rsidRDefault="001704C5" w:rsidP="001704C5">
            <w:pPr>
              <w:rPr>
                <w:rFonts w:ascii="Calibri" w:hAnsi="Calibri"/>
                <w:sz w:val="20"/>
                <w:szCs w:val="20"/>
              </w:rPr>
            </w:pPr>
            <w:r w:rsidRPr="00064E89">
              <w:rPr>
                <w:rFonts w:ascii="Calibri" w:hAnsi="Calibri"/>
                <w:sz w:val="20"/>
                <w:szCs w:val="20"/>
              </w:rPr>
              <w:t xml:space="preserve">“I care about you and your safety, so together we need to discuss other options.  Is this a good time to talk about that?” Patient-centered, empathic communication is consistently used to discuss continued opioid use, dose escalation, or to encourage tapering. There is a high amount of listening and shared decision making. </w:t>
            </w:r>
            <w:proofErr w:type="gramStart"/>
            <w:r w:rsidRPr="00064E89">
              <w:rPr>
                <w:rFonts w:ascii="Calibri" w:hAnsi="Calibri"/>
                <w:sz w:val="20"/>
                <w:szCs w:val="20"/>
              </w:rPr>
              <w:t>to</w:t>
            </w:r>
            <w:proofErr w:type="gramEnd"/>
            <w:r w:rsidRPr="00064E89">
              <w:rPr>
                <w:rFonts w:ascii="Calibri" w:hAnsi="Calibri"/>
                <w:sz w:val="20"/>
                <w:szCs w:val="20"/>
              </w:rPr>
              <w:t xml:space="preserve"> what is important to patient.  Referrals are made as needed for other services or outside supports</w:t>
            </w:r>
          </w:p>
        </w:tc>
      </w:tr>
      <w:tr w:rsidR="001704C5" w:rsidRPr="00064E89" w14:paraId="1043B9FF" w14:textId="77777777" w:rsidTr="001704C5">
        <w:tc>
          <w:tcPr>
            <w:tcW w:w="2635" w:type="dxa"/>
          </w:tcPr>
          <w:p w14:paraId="4B22C5A7" w14:textId="77777777" w:rsidR="001704C5" w:rsidRPr="00064E89" w:rsidRDefault="004F7A13" w:rsidP="00627016">
            <w:pPr>
              <w:keepNext/>
              <w:rPr>
                <w:rFonts w:ascii="Calibri" w:hAnsi="Calibri"/>
                <w:sz w:val="20"/>
                <w:szCs w:val="20"/>
              </w:rPr>
            </w:pPr>
            <w:r w:rsidRPr="00064E89">
              <w:rPr>
                <w:rFonts w:ascii="Calibri" w:hAnsi="Calibri"/>
                <w:sz w:val="20"/>
                <w:szCs w:val="20"/>
              </w:rPr>
              <w:t xml:space="preserve">. </w:t>
            </w:r>
            <w:r w:rsidR="001704C5" w:rsidRPr="00064E89">
              <w:rPr>
                <w:rFonts w:ascii="Calibri" w:hAnsi="Calibri"/>
                <w:sz w:val="20"/>
                <w:szCs w:val="20"/>
              </w:rPr>
              <w:t>Patient Involvement</w:t>
            </w:r>
          </w:p>
        </w:tc>
        <w:tc>
          <w:tcPr>
            <w:tcW w:w="2635" w:type="dxa"/>
          </w:tcPr>
          <w:p w14:paraId="100578DA" w14:textId="1D48287A" w:rsidR="001704C5" w:rsidRPr="00064E89" w:rsidRDefault="001704C5" w:rsidP="00627016">
            <w:pPr>
              <w:keepNext/>
              <w:rPr>
                <w:rFonts w:ascii="Calibri" w:hAnsi="Calibri"/>
                <w:sz w:val="20"/>
                <w:szCs w:val="20"/>
              </w:rPr>
            </w:pPr>
          </w:p>
        </w:tc>
        <w:tc>
          <w:tcPr>
            <w:tcW w:w="2635" w:type="dxa"/>
          </w:tcPr>
          <w:p w14:paraId="3CFA0D3A" w14:textId="74458CDC" w:rsidR="001704C5" w:rsidRPr="00064E89" w:rsidRDefault="001704C5" w:rsidP="00627016">
            <w:pPr>
              <w:keepNext/>
              <w:rPr>
                <w:rFonts w:ascii="Calibri" w:hAnsi="Calibri"/>
                <w:sz w:val="20"/>
                <w:szCs w:val="20"/>
              </w:rPr>
            </w:pPr>
          </w:p>
        </w:tc>
        <w:tc>
          <w:tcPr>
            <w:tcW w:w="2635" w:type="dxa"/>
          </w:tcPr>
          <w:p w14:paraId="5FDA2F3A" w14:textId="2B39CB22" w:rsidR="001704C5" w:rsidRPr="00064E89" w:rsidRDefault="001704C5" w:rsidP="00627016">
            <w:pPr>
              <w:keepNext/>
              <w:rPr>
                <w:rFonts w:ascii="Calibri" w:hAnsi="Calibri"/>
                <w:sz w:val="20"/>
                <w:szCs w:val="20"/>
              </w:rPr>
            </w:pPr>
          </w:p>
        </w:tc>
        <w:tc>
          <w:tcPr>
            <w:tcW w:w="2636" w:type="dxa"/>
          </w:tcPr>
          <w:p w14:paraId="5052B702" w14:textId="6332B0E4" w:rsidR="001704C5" w:rsidRPr="00064E89" w:rsidRDefault="001704C5" w:rsidP="00627016">
            <w:pPr>
              <w:keepNext/>
              <w:rPr>
                <w:rFonts w:ascii="Calibri" w:hAnsi="Calibri"/>
                <w:sz w:val="20"/>
                <w:szCs w:val="20"/>
              </w:rPr>
            </w:pPr>
          </w:p>
        </w:tc>
      </w:tr>
      <w:tr w:rsidR="001704C5" w:rsidRPr="00064E89" w14:paraId="6E7551C2" w14:textId="77777777" w:rsidTr="001704C5">
        <w:tc>
          <w:tcPr>
            <w:tcW w:w="2635" w:type="dxa"/>
          </w:tcPr>
          <w:p w14:paraId="11431F31" w14:textId="39E0256A" w:rsidR="001704C5" w:rsidRPr="00064E89" w:rsidRDefault="001704C5" w:rsidP="001704C5">
            <w:pPr>
              <w:rPr>
                <w:rFonts w:ascii="Calibri" w:hAnsi="Calibri"/>
                <w:sz w:val="20"/>
                <w:szCs w:val="20"/>
              </w:rPr>
            </w:pPr>
          </w:p>
        </w:tc>
        <w:tc>
          <w:tcPr>
            <w:tcW w:w="2635" w:type="dxa"/>
          </w:tcPr>
          <w:p w14:paraId="57104D14" w14:textId="3E02F50D" w:rsidR="001704C5" w:rsidRPr="00064E89" w:rsidRDefault="001704C5" w:rsidP="001704C5">
            <w:pPr>
              <w:rPr>
                <w:rFonts w:ascii="Calibri" w:hAnsi="Calibri"/>
                <w:sz w:val="20"/>
                <w:szCs w:val="20"/>
              </w:rPr>
            </w:pPr>
            <w:r w:rsidRPr="00064E89">
              <w:rPr>
                <w:rFonts w:ascii="Calibri" w:hAnsi="Calibri"/>
                <w:sz w:val="20"/>
                <w:szCs w:val="20"/>
              </w:rPr>
              <w:t xml:space="preserve">Patients are not involved in planning their treatment. </w:t>
            </w:r>
          </w:p>
        </w:tc>
        <w:tc>
          <w:tcPr>
            <w:tcW w:w="2635" w:type="dxa"/>
          </w:tcPr>
          <w:p w14:paraId="2769CD89" w14:textId="4E9CA9A0" w:rsidR="001704C5" w:rsidRPr="00064E89" w:rsidRDefault="001704C5" w:rsidP="001704C5">
            <w:pPr>
              <w:rPr>
                <w:rFonts w:ascii="Calibri" w:hAnsi="Calibri"/>
                <w:sz w:val="20"/>
                <w:szCs w:val="20"/>
              </w:rPr>
            </w:pPr>
            <w:r w:rsidRPr="00064E89">
              <w:rPr>
                <w:rFonts w:ascii="Calibri" w:hAnsi="Calibri"/>
                <w:sz w:val="20"/>
                <w:szCs w:val="20"/>
              </w:rPr>
              <w:t xml:space="preserve">Patients are asked to identify their priorities of care, but not about their goals for functional improvement or support for self-management. Patient education handouts are inconsistently available. </w:t>
            </w:r>
          </w:p>
        </w:tc>
        <w:tc>
          <w:tcPr>
            <w:tcW w:w="2635" w:type="dxa"/>
          </w:tcPr>
          <w:p w14:paraId="20FECF5F" w14:textId="60AA85AB" w:rsidR="001704C5" w:rsidRPr="00064E89" w:rsidRDefault="001704C5" w:rsidP="001704C5">
            <w:pPr>
              <w:rPr>
                <w:rFonts w:ascii="Calibri" w:hAnsi="Calibri"/>
                <w:sz w:val="20"/>
                <w:szCs w:val="20"/>
              </w:rPr>
            </w:pPr>
            <w:r w:rsidRPr="00064E89">
              <w:rPr>
                <w:rFonts w:ascii="Calibri" w:hAnsi="Calibri"/>
                <w:sz w:val="20"/>
                <w:szCs w:val="20"/>
              </w:rPr>
              <w:t xml:space="preserve">Patients are asked about their priorities and goals, but treatment decisions are not shared. Support for self-management of pain is discussed and educational handouts are available. Most, but not all of the care team, understand patient involvement. </w:t>
            </w:r>
          </w:p>
        </w:tc>
        <w:tc>
          <w:tcPr>
            <w:tcW w:w="2636" w:type="dxa"/>
          </w:tcPr>
          <w:p w14:paraId="6A6637BE" w14:textId="101D647E" w:rsidR="001704C5" w:rsidRPr="00064E89" w:rsidRDefault="001704C5" w:rsidP="001704C5">
            <w:pPr>
              <w:rPr>
                <w:rFonts w:ascii="Calibri" w:hAnsi="Calibri"/>
                <w:sz w:val="20"/>
                <w:szCs w:val="20"/>
              </w:rPr>
            </w:pPr>
            <w:r w:rsidRPr="00064E89">
              <w:rPr>
                <w:rFonts w:ascii="Calibri" w:hAnsi="Calibri"/>
                <w:sz w:val="20"/>
                <w:szCs w:val="20"/>
              </w:rPr>
              <w:t xml:space="preserve">Patients are asked about their priorities and goals and involved in all decision-making. Support for self-management of pain, regardless of COT, is provided, along with educational handouts.  The entire care team embraces patient involvement. </w:t>
            </w:r>
          </w:p>
        </w:tc>
      </w:tr>
      <w:tr w:rsidR="001704C5" w:rsidRPr="00064E89" w14:paraId="3E61BD61" w14:textId="77777777" w:rsidTr="001704C5">
        <w:tc>
          <w:tcPr>
            <w:tcW w:w="2635" w:type="dxa"/>
          </w:tcPr>
          <w:p w14:paraId="25CE623C" w14:textId="77777777" w:rsidR="001704C5" w:rsidRPr="00064E89" w:rsidRDefault="001704C5" w:rsidP="00627016">
            <w:pPr>
              <w:keepNext/>
              <w:rPr>
                <w:rFonts w:ascii="Calibri" w:hAnsi="Calibri"/>
                <w:sz w:val="20"/>
                <w:szCs w:val="20"/>
              </w:rPr>
            </w:pPr>
            <w:r w:rsidRPr="00064E89">
              <w:rPr>
                <w:rFonts w:ascii="Calibri" w:hAnsi="Calibri"/>
                <w:sz w:val="20"/>
                <w:szCs w:val="20"/>
              </w:rPr>
              <w:t>Care Plans</w:t>
            </w:r>
          </w:p>
        </w:tc>
        <w:tc>
          <w:tcPr>
            <w:tcW w:w="2635" w:type="dxa"/>
          </w:tcPr>
          <w:p w14:paraId="799B5ADB" w14:textId="52A4FA38" w:rsidR="001704C5" w:rsidRPr="00064E89" w:rsidRDefault="001704C5" w:rsidP="00627016">
            <w:pPr>
              <w:keepNext/>
              <w:rPr>
                <w:rFonts w:ascii="Calibri" w:hAnsi="Calibri"/>
                <w:sz w:val="20"/>
                <w:szCs w:val="20"/>
              </w:rPr>
            </w:pPr>
          </w:p>
        </w:tc>
        <w:tc>
          <w:tcPr>
            <w:tcW w:w="2635" w:type="dxa"/>
          </w:tcPr>
          <w:p w14:paraId="57F97333" w14:textId="1E2020A2" w:rsidR="001704C5" w:rsidRPr="00064E89" w:rsidRDefault="001704C5" w:rsidP="00627016">
            <w:pPr>
              <w:keepNext/>
              <w:rPr>
                <w:rFonts w:ascii="Calibri" w:hAnsi="Calibri"/>
                <w:sz w:val="20"/>
                <w:szCs w:val="20"/>
              </w:rPr>
            </w:pPr>
          </w:p>
        </w:tc>
        <w:tc>
          <w:tcPr>
            <w:tcW w:w="2635" w:type="dxa"/>
          </w:tcPr>
          <w:p w14:paraId="17C55E3F" w14:textId="5190A065" w:rsidR="001704C5" w:rsidRPr="00064E89" w:rsidRDefault="001704C5" w:rsidP="00627016">
            <w:pPr>
              <w:keepNext/>
              <w:rPr>
                <w:rFonts w:ascii="Calibri" w:hAnsi="Calibri"/>
                <w:sz w:val="20"/>
                <w:szCs w:val="20"/>
              </w:rPr>
            </w:pPr>
          </w:p>
        </w:tc>
        <w:tc>
          <w:tcPr>
            <w:tcW w:w="2636" w:type="dxa"/>
          </w:tcPr>
          <w:p w14:paraId="09BD4DE3" w14:textId="34662FB7" w:rsidR="001704C5" w:rsidRPr="00064E89" w:rsidRDefault="001704C5" w:rsidP="00627016">
            <w:pPr>
              <w:keepNext/>
              <w:rPr>
                <w:rFonts w:ascii="Calibri" w:hAnsi="Calibri"/>
                <w:sz w:val="20"/>
                <w:szCs w:val="20"/>
              </w:rPr>
            </w:pPr>
          </w:p>
        </w:tc>
      </w:tr>
      <w:tr w:rsidR="001704C5" w:rsidRPr="00064E89" w14:paraId="6BCAB96B" w14:textId="77777777" w:rsidTr="001704C5">
        <w:tc>
          <w:tcPr>
            <w:tcW w:w="2635" w:type="dxa"/>
          </w:tcPr>
          <w:p w14:paraId="46AB09C1" w14:textId="3303B031" w:rsidR="001704C5" w:rsidRPr="00064E89" w:rsidRDefault="001704C5" w:rsidP="001704C5">
            <w:pPr>
              <w:rPr>
                <w:rFonts w:ascii="Calibri" w:hAnsi="Calibri"/>
                <w:sz w:val="20"/>
                <w:szCs w:val="20"/>
              </w:rPr>
            </w:pPr>
          </w:p>
        </w:tc>
        <w:tc>
          <w:tcPr>
            <w:tcW w:w="2635" w:type="dxa"/>
          </w:tcPr>
          <w:p w14:paraId="2AA210F3" w14:textId="08627912" w:rsidR="001704C5" w:rsidRPr="00064E89" w:rsidRDefault="001704C5" w:rsidP="001704C5">
            <w:pPr>
              <w:rPr>
                <w:rFonts w:ascii="Calibri" w:hAnsi="Calibri"/>
                <w:sz w:val="20"/>
                <w:szCs w:val="20"/>
              </w:rPr>
            </w:pPr>
            <w:r w:rsidRPr="00064E89">
              <w:rPr>
                <w:rFonts w:ascii="Calibri" w:hAnsi="Calibri"/>
                <w:sz w:val="20"/>
                <w:szCs w:val="20"/>
              </w:rPr>
              <w:t xml:space="preserve">Care plans for patients with persistent pain are not developed. </w:t>
            </w:r>
          </w:p>
        </w:tc>
        <w:tc>
          <w:tcPr>
            <w:tcW w:w="2635" w:type="dxa"/>
          </w:tcPr>
          <w:p w14:paraId="2670F9F8" w14:textId="4A834233" w:rsidR="001704C5" w:rsidRPr="00064E89" w:rsidRDefault="001704C5" w:rsidP="001704C5">
            <w:pPr>
              <w:rPr>
                <w:rFonts w:ascii="Calibri" w:hAnsi="Calibri"/>
                <w:sz w:val="20"/>
                <w:szCs w:val="20"/>
              </w:rPr>
            </w:pPr>
            <w:r w:rsidRPr="00064E89">
              <w:rPr>
                <w:rFonts w:ascii="Calibri" w:hAnsi="Calibri"/>
                <w:sz w:val="20"/>
                <w:szCs w:val="20"/>
              </w:rPr>
              <w:t xml:space="preserve">When care plans are developed, they are created by the prescribing clinician and only include the medication regimen and a monitoring schedule. </w:t>
            </w:r>
          </w:p>
        </w:tc>
        <w:tc>
          <w:tcPr>
            <w:tcW w:w="2635" w:type="dxa"/>
          </w:tcPr>
          <w:p w14:paraId="573261B4" w14:textId="28B3DC3B" w:rsidR="001704C5" w:rsidRPr="00064E89" w:rsidRDefault="001704C5" w:rsidP="001704C5">
            <w:pPr>
              <w:rPr>
                <w:rFonts w:ascii="Calibri" w:hAnsi="Calibri"/>
                <w:sz w:val="20"/>
                <w:szCs w:val="20"/>
              </w:rPr>
            </w:pPr>
            <w:r w:rsidRPr="00064E89">
              <w:rPr>
                <w:rFonts w:ascii="Calibri" w:hAnsi="Calibri"/>
                <w:sz w:val="20"/>
                <w:szCs w:val="20"/>
              </w:rPr>
              <w:t xml:space="preserve">Care plans for pain, regardless of COT, are developed collaboratively with most patients.  They include self-management goals, clinical goals, the medication regimen, and a monitoring schedule. They are entered into the patient's record. </w:t>
            </w:r>
          </w:p>
        </w:tc>
        <w:tc>
          <w:tcPr>
            <w:tcW w:w="2636" w:type="dxa"/>
          </w:tcPr>
          <w:p w14:paraId="42DB2296" w14:textId="7D76E994" w:rsidR="001704C5" w:rsidRPr="00064E89" w:rsidRDefault="001704C5" w:rsidP="001704C5">
            <w:pPr>
              <w:rPr>
                <w:rFonts w:ascii="Calibri" w:hAnsi="Calibri"/>
                <w:sz w:val="20"/>
                <w:szCs w:val="20"/>
              </w:rPr>
            </w:pPr>
            <w:proofErr w:type="gramStart"/>
            <w:r w:rsidRPr="00064E89">
              <w:rPr>
                <w:rFonts w:ascii="Calibri" w:hAnsi="Calibri"/>
                <w:sz w:val="20"/>
                <w:szCs w:val="20"/>
              </w:rPr>
              <w:t>All of the</w:t>
            </w:r>
            <w:proofErr w:type="gramEnd"/>
            <w:r w:rsidRPr="00064E89">
              <w:rPr>
                <w:rFonts w:ascii="Calibri" w:hAnsi="Calibri"/>
                <w:sz w:val="20"/>
                <w:szCs w:val="20"/>
              </w:rPr>
              <w:t xml:space="preserve"> above, plus: care plans are used for ALL chronic pain patients, are easy to find and routinely used to guide care. </w:t>
            </w:r>
          </w:p>
        </w:tc>
      </w:tr>
    </w:tbl>
    <w:p w14:paraId="5B383169" w14:textId="77777777" w:rsidR="00A93F42" w:rsidRPr="00064E89" w:rsidRDefault="00A93F42" w:rsidP="00FE2B39">
      <w:pPr>
        <w:pStyle w:val="H3"/>
        <w:spacing w:after="0"/>
        <w:rPr>
          <w:rFonts w:ascii="Calibri" w:hAnsi="Calibri"/>
          <w:sz w:val="28"/>
          <w:szCs w:val="28"/>
        </w:rPr>
      </w:pPr>
    </w:p>
    <w:p w14:paraId="15CC6695" w14:textId="77777777" w:rsidR="008219CF" w:rsidRPr="00064E89" w:rsidRDefault="008219CF">
      <w:pPr>
        <w:rPr>
          <w:rFonts w:ascii="Calibri" w:hAnsi="Calibri"/>
          <w:b/>
          <w:color w:val="000000"/>
          <w:sz w:val="28"/>
          <w:szCs w:val="28"/>
        </w:rPr>
      </w:pPr>
      <w:r w:rsidRPr="00064E89">
        <w:rPr>
          <w:rFonts w:ascii="Calibri" w:hAnsi="Calibri"/>
          <w:sz w:val="28"/>
          <w:szCs w:val="28"/>
        </w:rPr>
        <w:lastRenderedPageBreak/>
        <w:br w:type="page"/>
      </w:r>
    </w:p>
    <w:p w14:paraId="5D882902" w14:textId="77777777" w:rsidR="007B637B" w:rsidRPr="00064E89" w:rsidRDefault="004F7A13" w:rsidP="00FE2B39">
      <w:pPr>
        <w:pStyle w:val="H3"/>
        <w:spacing w:after="0"/>
        <w:rPr>
          <w:rFonts w:ascii="Calibri" w:hAnsi="Calibri"/>
          <w:sz w:val="28"/>
          <w:szCs w:val="28"/>
        </w:rPr>
      </w:pPr>
      <w:r w:rsidRPr="00064E89">
        <w:rPr>
          <w:rFonts w:ascii="Calibri" w:hAnsi="Calibri"/>
          <w:sz w:val="28"/>
          <w:szCs w:val="28"/>
        </w:rPr>
        <w:lastRenderedPageBreak/>
        <w:t>Building Block #5: Caring for Complex Patients</w:t>
      </w:r>
    </w:p>
    <w:tbl>
      <w:tblPr>
        <w:tblStyle w:val="TableGrid"/>
        <w:tblW w:w="0" w:type="auto"/>
        <w:tblLook w:val="04A0" w:firstRow="1" w:lastRow="0" w:firstColumn="1" w:lastColumn="0" w:noHBand="0" w:noVBand="1"/>
      </w:tblPr>
      <w:tblGrid>
        <w:gridCol w:w="2635"/>
        <w:gridCol w:w="2635"/>
        <w:gridCol w:w="2635"/>
        <w:gridCol w:w="2635"/>
        <w:gridCol w:w="2636"/>
      </w:tblGrid>
      <w:tr w:rsidR="001704C5" w:rsidRPr="00064E89" w14:paraId="1972CB27" w14:textId="77777777" w:rsidTr="001704C5">
        <w:tc>
          <w:tcPr>
            <w:tcW w:w="2635" w:type="dxa"/>
          </w:tcPr>
          <w:p w14:paraId="74831440" w14:textId="77777777" w:rsidR="001704C5" w:rsidRPr="00064E89" w:rsidRDefault="001704C5" w:rsidP="00152CC2">
            <w:pPr>
              <w:keepNext/>
              <w:rPr>
                <w:rFonts w:ascii="Calibri" w:hAnsi="Calibri"/>
                <w:sz w:val="20"/>
                <w:szCs w:val="20"/>
              </w:rPr>
            </w:pPr>
            <w:r w:rsidRPr="00064E89">
              <w:rPr>
                <w:rFonts w:ascii="Calibri" w:hAnsi="Calibri"/>
                <w:sz w:val="20"/>
                <w:szCs w:val="20"/>
              </w:rPr>
              <w:t>Identifying High Risk, Complex Patients</w:t>
            </w:r>
          </w:p>
        </w:tc>
        <w:tc>
          <w:tcPr>
            <w:tcW w:w="2635" w:type="dxa"/>
          </w:tcPr>
          <w:p w14:paraId="63ACE424" w14:textId="376E8D5B" w:rsidR="001704C5" w:rsidRPr="00064E89" w:rsidRDefault="001704C5" w:rsidP="00152CC2">
            <w:pPr>
              <w:keepNext/>
              <w:rPr>
                <w:rFonts w:ascii="Calibri" w:hAnsi="Calibri"/>
                <w:sz w:val="20"/>
                <w:szCs w:val="20"/>
              </w:rPr>
            </w:pPr>
          </w:p>
        </w:tc>
        <w:tc>
          <w:tcPr>
            <w:tcW w:w="2635" w:type="dxa"/>
          </w:tcPr>
          <w:p w14:paraId="7AB933E2" w14:textId="2731B586" w:rsidR="001704C5" w:rsidRPr="00064E89" w:rsidRDefault="001704C5" w:rsidP="00152CC2">
            <w:pPr>
              <w:keepNext/>
              <w:rPr>
                <w:rFonts w:ascii="Calibri" w:hAnsi="Calibri"/>
                <w:sz w:val="20"/>
                <w:szCs w:val="20"/>
              </w:rPr>
            </w:pPr>
          </w:p>
        </w:tc>
        <w:tc>
          <w:tcPr>
            <w:tcW w:w="2635" w:type="dxa"/>
          </w:tcPr>
          <w:p w14:paraId="2E085A24" w14:textId="390DAAE0" w:rsidR="001704C5" w:rsidRPr="00064E89" w:rsidRDefault="001704C5" w:rsidP="00152CC2">
            <w:pPr>
              <w:keepNext/>
              <w:rPr>
                <w:rFonts w:ascii="Calibri" w:hAnsi="Calibri"/>
                <w:sz w:val="20"/>
                <w:szCs w:val="20"/>
              </w:rPr>
            </w:pPr>
          </w:p>
        </w:tc>
        <w:tc>
          <w:tcPr>
            <w:tcW w:w="2636" w:type="dxa"/>
          </w:tcPr>
          <w:p w14:paraId="1176E66E" w14:textId="5C611B01" w:rsidR="001704C5" w:rsidRPr="00064E89" w:rsidRDefault="001704C5" w:rsidP="00152CC2">
            <w:pPr>
              <w:keepNext/>
              <w:rPr>
                <w:rFonts w:ascii="Calibri" w:hAnsi="Calibri"/>
                <w:sz w:val="20"/>
                <w:szCs w:val="20"/>
              </w:rPr>
            </w:pPr>
          </w:p>
        </w:tc>
      </w:tr>
      <w:tr w:rsidR="001704C5" w:rsidRPr="00064E89" w14:paraId="08F7E474" w14:textId="77777777" w:rsidTr="001704C5">
        <w:tc>
          <w:tcPr>
            <w:tcW w:w="2635" w:type="dxa"/>
          </w:tcPr>
          <w:p w14:paraId="63E84BB1" w14:textId="464AF467" w:rsidR="001704C5" w:rsidRPr="00064E89" w:rsidRDefault="001704C5" w:rsidP="001704C5">
            <w:pPr>
              <w:rPr>
                <w:rFonts w:ascii="Calibri" w:hAnsi="Calibri"/>
                <w:sz w:val="20"/>
                <w:szCs w:val="20"/>
              </w:rPr>
            </w:pPr>
          </w:p>
        </w:tc>
        <w:tc>
          <w:tcPr>
            <w:tcW w:w="2635" w:type="dxa"/>
          </w:tcPr>
          <w:p w14:paraId="61ACABCD" w14:textId="22EDBD16" w:rsidR="001704C5" w:rsidRPr="00064E89" w:rsidRDefault="001704C5" w:rsidP="001704C5">
            <w:pPr>
              <w:rPr>
                <w:rFonts w:ascii="Calibri" w:hAnsi="Calibri"/>
                <w:sz w:val="20"/>
                <w:szCs w:val="20"/>
              </w:rPr>
            </w:pPr>
            <w:r w:rsidRPr="00064E89">
              <w:rPr>
                <w:rFonts w:ascii="Calibri" w:hAnsi="Calibri"/>
                <w:sz w:val="20"/>
                <w:szCs w:val="20"/>
              </w:rPr>
              <w:t xml:space="preserve">No policies exist regarding screening for high risk patients. </w:t>
            </w:r>
          </w:p>
        </w:tc>
        <w:tc>
          <w:tcPr>
            <w:tcW w:w="2635" w:type="dxa"/>
          </w:tcPr>
          <w:p w14:paraId="3847C3E5" w14:textId="0C63F903" w:rsidR="001704C5" w:rsidRPr="00064E89" w:rsidRDefault="001704C5" w:rsidP="001704C5">
            <w:pPr>
              <w:rPr>
                <w:rFonts w:ascii="Calibri" w:hAnsi="Calibri"/>
                <w:sz w:val="20"/>
                <w:szCs w:val="20"/>
              </w:rPr>
            </w:pPr>
            <w:r w:rsidRPr="00064E89">
              <w:rPr>
                <w:rFonts w:ascii="Calibri" w:hAnsi="Calibri"/>
                <w:sz w:val="20"/>
                <w:szCs w:val="20"/>
              </w:rPr>
              <w:t xml:space="preserve">Policies exist regarding opioid misuse, diversion, abuse, addiction, and recognizing complex opioid dependence.  One or more recommended screening tools have been selected (PHQ-4, PC-PTSD, FSQ, &amp; PEG), and providers are being trained. </w:t>
            </w:r>
          </w:p>
        </w:tc>
        <w:tc>
          <w:tcPr>
            <w:tcW w:w="2635" w:type="dxa"/>
          </w:tcPr>
          <w:p w14:paraId="3432FBAA" w14:textId="2ACFD747" w:rsidR="001704C5" w:rsidRPr="00064E89" w:rsidRDefault="001704C5" w:rsidP="001704C5">
            <w:pPr>
              <w:rPr>
                <w:rFonts w:ascii="Calibri" w:hAnsi="Calibri"/>
                <w:sz w:val="20"/>
                <w:szCs w:val="20"/>
              </w:rPr>
            </w:pPr>
            <w:r w:rsidRPr="00064E89">
              <w:rPr>
                <w:rFonts w:ascii="Calibri" w:hAnsi="Calibri"/>
                <w:sz w:val="20"/>
                <w:szCs w:val="20"/>
              </w:rPr>
              <w:t xml:space="preserve">The agreed upon screenings are being conducted, but inconsistently.  There is limited follow-up when problems are identified. </w:t>
            </w:r>
          </w:p>
        </w:tc>
        <w:tc>
          <w:tcPr>
            <w:tcW w:w="2636" w:type="dxa"/>
          </w:tcPr>
          <w:p w14:paraId="22ED6993" w14:textId="38BF1DAD" w:rsidR="001704C5" w:rsidRPr="00064E89" w:rsidRDefault="001704C5" w:rsidP="001704C5">
            <w:pPr>
              <w:rPr>
                <w:rFonts w:ascii="Calibri" w:hAnsi="Calibri"/>
                <w:sz w:val="20"/>
                <w:szCs w:val="20"/>
              </w:rPr>
            </w:pPr>
            <w:r w:rsidRPr="00064E89">
              <w:rPr>
                <w:rFonts w:ascii="Calibri" w:hAnsi="Calibri"/>
                <w:sz w:val="20"/>
                <w:szCs w:val="20"/>
              </w:rPr>
              <w:t xml:space="preserve">The agreed upon screening tools are consistently used.  All identified problems receive follow-up, as defined in policy. </w:t>
            </w:r>
          </w:p>
        </w:tc>
      </w:tr>
      <w:tr w:rsidR="001704C5" w:rsidRPr="00064E89" w14:paraId="61C57EA3" w14:textId="77777777" w:rsidTr="001704C5">
        <w:tc>
          <w:tcPr>
            <w:tcW w:w="2635" w:type="dxa"/>
          </w:tcPr>
          <w:p w14:paraId="2903E486" w14:textId="77777777" w:rsidR="001704C5" w:rsidRPr="00064E89" w:rsidRDefault="001704C5" w:rsidP="00152CC2">
            <w:pPr>
              <w:keepNext/>
              <w:rPr>
                <w:rFonts w:ascii="Calibri" w:hAnsi="Calibri"/>
                <w:sz w:val="20"/>
                <w:szCs w:val="20"/>
              </w:rPr>
            </w:pPr>
            <w:r w:rsidRPr="00064E89">
              <w:rPr>
                <w:rFonts w:ascii="Calibri" w:hAnsi="Calibri"/>
                <w:sz w:val="20"/>
                <w:szCs w:val="20"/>
              </w:rPr>
              <w:t>Care Plans for High Risk, Complex Patients</w:t>
            </w:r>
          </w:p>
        </w:tc>
        <w:tc>
          <w:tcPr>
            <w:tcW w:w="2635" w:type="dxa"/>
          </w:tcPr>
          <w:p w14:paraId="1562ACDE" w14:textId="16E24281" w:rsidR="001704C5" w:rsidRPr="00064E89" w:rsidRDefault="001704C5" w:rsidP="00152CC2">
            <w:pPr>
              <w:keepNext/>
              <w:rPr>
                <w:rFonts w:ascii="Calibri" w:hAnsi="Calibri"/>
                <w:sz w:val="20"/>
                <w:szCs w:val="20"/>
              </w:rPr>
            </w:pPr>
          </w:p>
        </w:tc>
        <w:tc>
          <w:tcPr>
            <w:tcW w:w="2635" w:type="dxa"/>
          </w:tcPr>
          <w:p w14:paraId="058E7F5E" w14:textId="011DFB60" w:rsidR="001704C5" w:rsidRPr="00064E89" w:rsidRDefault="001704C5" w:rsidP="00152CC2">
            <w:pPr>
              <w:keepNext/>
              <w:rPr>
                <w:rFonts w:ascii="Calibri" w:hAnsi="Calibri"/>
                <w:sz w:val="20"/>
                <w:szCs w:val="20"/>
              </w:rPr>
            </w:pPr>
          </w:p>
        </w:tc>
        <w:tc>
          <w:tcPr>
            <w:tcW w:w="2635" w:type="dxa"/>
          </w:tcPr>
          <w:p w14:paraId="46B8EDE6" w14:textId="7641414D" w:rsidR="001704C5" w:rsidRPr="00064E89" w:rsidRDefault="001704C5" w:rsidP="00152CC2">
            <w:pPr>
              <w:keepNext/>
              <w:rPr>
                <w:rFonts w:ascii="Calibri" w:hAnsi="Calibri"/>
                <w:sz w:val="20"/>
                <w:szCs w:val="20"/>
              </w:rPr>
            </w:pPr>
          </w:p>
        </w:tc>
        <w:tc>
          <w:tcPr>
            <w:tcW w:w="2636" w:type="dxa"/>
          </w:tcPr>
          <w:p w14:paraId="3F8B6599" w14:textId="4073265A" w:rsidR="001704C5" w:rsidRPr="00064E89" w:rsidRDefault="001704C5" w:rsidP="00152CC2">
            <w:pPr>
              <w:keepNext/>
              <w:rPr>
                <w:rFonts w:ascii="Calibri" w:hAnsi="Calibri"/>
                <w:sz w:val="20"/>
                <w:szCs w:val="20"/>
              </w:rPr>
            </w:pPr>
          </w:p>
        </w:tc>
      </w:tr>
      <w:tr w:rsidR="001704C5" w:rsidRPr="00064E89" w14:paraId="31C9D7B0" w14:textId="77777777" w:rsidTr="001704C5">
        <w:tc>
          <w:tcPr>
            <w:tcW w:w="2635" w:type="dxa"/>
          </w:tcPr>
          <w:p w14:paraId="70982E2B" w14:textId="7A39639A" w:rsidR="001704C5" w:rsidRPr="00064E89" w:rsidRDefault="001704C5" w:rsidP="001704C5">
            <w:pPr>
              <w:rPr>
                <w:rFonts w:ascii="Calibri" w:hAnsi="Calibri"/>
                <w:sz w:val="20"/>
                <w:szCs w:val="20"/>
              </w:rPr>
            </w:pPr>
          </w:p>
        </w:tc>
        <w:tc>
          <w:tcPr>
            <w:tcW w:w="2635" w:type="dxa"/>
          </w:tcPr>
          <w:p w14:paraId="19302A99" w14:textId="3ADFF000" w:rsidR="001704C5" w:rsidRPr="00064E89" w:rsidRDefault="001704C5" w:rsidP="001704C5">
            <w:pPr>
              <w:rPr>
                <w:rFonts w:ascii="Calibri" w:hAnsi="Calibri"/>
                <w:sz w:val="20"/>
                <w:szCs w:val="20"/>
              </w:rPr>
            </w:pPr>
            <w:r w:rsidRPr="00064E89">
              <w:rPr>
                <w:rFonts w:ascii="Calibri" w:hAnsi="Calibri"/>
                <w:sz w:val="20"/>
                <w:szCs w:val="20"/>
              </w:rPr>
              <w:t xml:space="preserve">No standard care plan exists for addressing risks identified for complex patients. </w:t>
            </w:r>
          </w:p>
        </w:tc>
        <w:tc>
          <w:tcPr>
            <w:tcW w:w="2635" w:type="dxa"/>
          </w:tcPr>
          <w:p w14:paraId="67DEF689" w14:textId="7322E505" w:rsidR="001704C5" w:rsidRPr="00064E89" w:rsidRDefault="001704C5" w:rsidP="001704C5">
            <w:pPr>
              <w:rPr>
                <w:rFonts w:ascii="Calibri" w:hAnsi="Calibri"/>
                <w:sz w:val="20"/>
                <w:szCs w:val="20"/>
              </w:rPr>
            </w:pPr>
            <w:r w:rsidRPr="00064E89">
              <w:rPr>
                <w:rFonts w:ascii="Calibri" w:hAnsi="Calibri"/>
                <w:sz w:val="20"/>
                <w:szCs w:val="20"/>
              </w:rPr>
              <w:t xml:space="preserve">A standard care plan exists that includes tapering, conversion to buprenorphine, behavioral health consultation, if available in the clinic, and/or referrals to specialists in pain, addiction, behavioral health.  The plan is not consistently used, and there is no access to buprenorphine prescribers. </w:t>
            </w:r>
          </w:p>
        </w:tc>
        <w:tc>
          <w:tcPr>
            <w:tcW w:w="2635" w:type="dxa"/>
          </w:tcPr>
          <w:p w14:paraId="6FA4E67E" w14:textId="028FE3E2" w:rsidR="001704C5" w:rsidRPr="00064E89" w:rsidRDefault="001704C5" w:rsidP="001704C5">
            <w:pPr>
              <w:rPr>
                <w:rFonts w:ascii="Calibri" w:hAnsi="Calibri"/>
                <w:sz w:val="20"/>
                <w:szCs w:val="20"/>
              </w:rPr>
            </w:pPr>
            <w:r w:rsidRPr="00064E89">
              <w:rPr>
                <w:rFonts w:ascii="Calibri" w:hAnsi="Calibri"/>
                <w:sz w:val="20"/>
                <w:szCs w:val="20"/>
              </w:rPr>
              <w:t xml:space="preserve">The standard care plan is being used by most prescribers with high-risk patients. There is some access to buprenorphine. </w:t>
            </w:r>
          </w:p>
        </w:tc>
        <w:tc>
          <w:tcPr>
            <w:tcW w:w="2636" w:type="dxa"/>
          </w:tcPr>
          <w:p w14:paraId="242B723A" w14:textId="5CE53F3A" w:rsidR="001704C5" w:rsidRPr="00064E89" w:rsidRDefault="001704C5" w:rsidP="001704C5">
            <w:pPr>
              <w:rPr>
                <w:rFonts w:ascii="Calibri" w:hAnsi="Calibri"/>
                <w:sz w:val="20"/>
                <w:szCs w:val="20"/>
              </w:rPr>
            </w:pPr>
            <w:r w:rsidRPr="00064E89">
              <w:rPr>
                <w:rFonts w:ascii="Calibri" w:hAnsi="Calibri"/>
                <w:sz w:val="20"/>
                <w:szCs w:val="20"/>
              </w:rPr>
              <w:t xml:space="preserve">Each complex patient has a specific care plan addressing their identified risks.  Prescriptions for buprenorphine are readily available. Patient progress is monitored at least monthly by clinic leadership. </w:t>
            </w:r>
          </w:p>
        </w:tc>
      </w:tr>
      <w:tr w:rsidR="001704C5" w:rsidRPr="00064E89" w14:paraId="06F986C4" w14:textId="77777777" w:rsidTr="001704C5">
        <w:tc>
          <w:tcPr>
            <w:tcW w:w="2635" w:type="dxa"/>
          </w:tcPr>
          <w:p w14:paraId="276452C1" w14:textId="77777777" w:rsidR="001704C5" w:rsidRPr="00064E89" w:rsidRDefault="001704C5" w:rsidP="00152CC2">
            <w:pPr>
              <w:keepNext/>
              <w:rPr>
                <w:rFonts w:ascii="Calibri" w:hAnsi="Calibri"/>
                <w:sz w:val="20"/>
                <w:szCs w:val="20"/>
              </w:rPr>
            </w:pPr>
            <w:r w:rsidRPr="00064E89">
              <w:rPr>
                <w:rFonts w:ascii="Calibri" w:hAnsi="Calibri"/>
                <w:sz w:val="20"/>
                <w:szCs w:val="20"/>
              </w:rPr>
              <w:t>Behavioral Health (Mental Health Care and Addiction Treatment)</w:t>
            </w:r>
          </w:p>
        </w:tc>
        <w:tc>
          <w:tcPr>
            <w:tcW w:w="2635" w:type="dxa"/>
          </w:tcPr>
          <w:p w14:paraId="4EC78B75" w14:textId="61B77181" w:rsidR="001704C5" w:rsidRPr="00064E89" w:rsidRDefault="001704C5" w:rsidP="00152CC2">
            <w:pPr>
              <w:keepNext/>
              <w:rPr>
                <w:rFonts w:ascii="Calibri" w:hAnsi="Calibri"/>
                <w:sz w:val="20"/>
                <w:szCs w:val="20"/>
              </w:rPr>
            </w:pPr>
          </w:p>
        </w:tc>
        <w:tc>
          <w:tcPr>
            <w:tcW w:w="2635" w:type="dxa"/>
          </w:tcPr>
          <w:p w14:paraId="583DDD12" w14:textId="558A4F1C" w:rsidR="001704C5" w:rsidRPr="00064E89" w:rsidRDefault="001704C5" w:rsidP="00152CC2">
            <w:pPr>
              <w:keepNext/>
              <w:rPr>
                <w:rFonts w:ascii="Calibri" w:hAnsi="Calibri"/>
                <w:sz w:val="20"/>
                <w:szCs w:val="20"/>
              </w:rPr>
            </w:pPr>
          </w:p>
        </w:tc>
        <w:tc>
          <w:tcPr>
            <w:tcW w:w="2635" w:type="dxa"/>
          </w:tcPr>
          <w:p w14:paraId="5856E603" w14:textId="3609B891" w:rsidR="001704C5" w:rsidRPr="00064E89" w:rsidRDefault="001704C5" w:rsidP="00152CC2">
            <w:pPr>
              <w:keepNext/>
              <w:rPr>
                <w:rFonts w:ascii="Calibri" w:hAnsi="Calibri"/>
                <w:sz w:val="20"/>
                <w:szCs w:val="20"/>
              </w:rPr>
            </w:pPr>
          </w:p>
        </w:tc>
        <w:tc>
          <w:tcPr>
            <w:tcW w:w="2636" w:type="dxa"/>
          </w:tcPr>
          <w:p w14:paraId="18C2DF34" w14:textId="2DFA72E3" w:rsidR="001704C5" w:rsidRPr="00064E89" w:rsidRDefault="001704C5" w:rsidP="00152CC2">
            <w:pPr>
              <w:keepNext/>
              <w:rPr>
                <w:rFonts w:ascii="Calibri" w:hAnsi="Calibri"/>
                <w:sz w:val="20"/>
                <w:szCs w:val="20"/>
              </w:rPr>
            </w:pPr>
          </w:p>
        </w:tc>
      </w:tr>
      <w:tr w:rsidR="001704C5" w:rsidRPr="00064E89" w14:paraId="4EF9158C" w14:textId="77777777" w:rsidTr="001704C5">
        <w:tc>
          <w:tcPr>
            <w:tcW w:w="2635" w:type="dxa"/>
          </w:tcPr>
          <w:p w14:paraId="2DB3BB83" w14:textId="3C788AE7" w:rsidR="001704C5" w:rsidRPr="00064E89" w:rsidRDefault="001704C5" w:rsidP="001704C5">
            <w:pPr>
              <w:rPr>
                <w:rFonts w:ascii="Calibri" w:hAnsi="Calibri"/>
                <w:sz w:val="20"/>
                <w:szCs w:val="20"/>
              </w:rPr>
            </w:pPr>
          </w:p>
        </w:tc>
        <w:tc>
          <w:tcPr>
            <w:tcW w:w="2635" w:type="dxa"/>
          </w:tcPr>
          <w:p w14:paraId="632D4DCE" w14:textId="77777777" w:rsidR="001704C5" w:rsidRPr="00064E89" w:rsidRDefault="001704C5" w:rsidP="001704C5">
            <w:pPr>
              <w:rPr>
                <w:rFonts w:ascii="Calibri" w:hAnsi="Calibri"/>
                <w:sz w:val="20"/>
                <w:szCs w:val="20"/>
              </w:rPr>
            </w:pPr>
            <w:r w:rsidRPr="00064E89">
              <w:rPr>
                <w:rFonts w:ascii="Calibri" w:hAnsi="Calibri"/>
                <w:sz w:val="20"/>
                <w:szCs w:val="20"/>
              </w:rPr>
              <w:t xml:space="preserve">Behavioral health referrals are difficult to obtain and there is no organized process to locate or refer externally. </w:t>
            </w:r>
          </w:p>
        </w:tc>
        <w:tc>
          <w:tcPr>
            <w:tcW w:w="2635" w:type="dxa"/>
          </w:tcPr>
          <w:p w14:paraId="5C0EC109" w14:textId="77777777" w:rsidR="001704C5" w:rsidRPr="00064E89" w:rsidRDefault="001704C5" w:rsidP="001704C5">
            <w:pPr>
              <w:rPr>
                <w:rFonts w:ascii="Calibri" w:hAnsi="Calibri"/>
                <w:sz w:val="20"/>
                <w:szCs w:val="20"/>
              </w:rPr>
            </w:pPr>
            <w:r w:rsidRPr="00064E89">
              <w:rPr>
                <w:rFonts w:ascii="Calibri" w:hAnsi="Calibri"/>
                <w:sz w:val="20"/>
                <w:szCs w:val="20"/>
              </w:rPr>
              <w:t xml:space="preserve">Behavioral health referrals, or processes to obtain externally, are available but aren’t timely or convenient. </w:t>
            </w:r>
          </w:p>
        </w:tc>
        <w:tc>
          <w:tcPr>
            <w:tcW w:w="2635" w:type="dxa"/>
          </w:tcPr>
          <w:p w14:paraId="3D105102" w14:textId="405AFB65" w:rsidR="001704C5" w:rsidRPr="00064E89" w:rsidRDefault="001704C5" w:rsidP="001704C5">
            <w:pPr>
              <w:rPr>
                <w:rFonts w:ascii="Calibri" w:hAnsi="Calibri"/>
                <w:sz w:val="20"/>
                <w:szCs w:val="20"/>
              </w:rPr>
            </w:pPr>
            <w:r w:rsidRPr="00064E89">
              <w:rPr>
                <w:rFonts w:ascii="Calibri" w:hAnsi="Calibri"/>
                <w:sz w:val="20"/>
                <w:szCs w:val="20"/>
              </w:rPr>
              <w:t xml:space="preserve">Behavioral health referrals or processes to obtain them externally are available and are usually timely and convenient. </w:t>
            </w:r>
          </w:p>
        </w:tc>
        <w:tc>
          <w:tcPr>
            <w:tcW w:w="2636" w:type="dxa"/>
          </w:tcPr>
          <w:p w14:paraId="3600924B" w14:textId="06B55718" w:rsidR="001704C5" w:rsidRPr="00064E89" w:rsidRDefault="001704C5" w:rsidP="001704C5">
            <w:pPr>
              <w:rPr>
                <w:rFonts w:ascii="Calibri" w:hAnsi="Calibri"/>
                <w:sz w:val="20"/>
                <w:szCs w:val="20"/>
              </w:rPr>
            </w:pPr>
            <w:r w:rsidRPr="00064E89">
              <w:rPr>
                <w:rFonts w:ascii="Calibri" w:hAnsi="Calibri"/>
                <w:sz w:val="20"/>
                <w:szCs w:val="20"/>
              </w:rPr>
              <w:t xml:space="preserve">Behavioral healthcare is readily available on site or through an organization that has a referral agreement.  Processes are in place to ensure timely treatment. </w:t>
            </w:r>
          </w:p>
        </w:tc>
      </w:tr>
    </w:tbl>
    <w:p w14:paraId="44BC6E95" w14:textId="77777777" w:rsidR="008219CF" w:rsidRPr="00064E89" w:rsidRDefault="008219CF" w:rsidP="00FE2B39">
      <w:pPr>
        <w:pStyle w:val="H3"/>
        <w:spacing w:after="0"/>
        <w:rPr>
          <w:rFonts w:ascii="Calibri" w:hAnsi="Calibri"/>
          <w:sz w:val="28"/>
          <w:szCs w:val="28"/>
        </w:rPr>
      </w:pPr>
    </w:p>
    <w:p w14:paraId="0BEB11FD" w14:textId="77777777" w:rsidR="008219CF" w:rsidRPr="00064E89" w:rsidRDefault="008219CF">
      <w:pPr>
        <w:rPr>
          <w:rFonts w:ascii="Calibri" w:hAnsi="Calibri"/>
          <w:b/>
          <w:color w:val="000000"/>
          <w:sz w:val="28"/>
          <w:szCs w:val="28"/>
        </w:rPr>
      </w:pPr>
      <w:r w:rsidRPr="00064E89">
        <w:rPr>
          <w:rFonts w:ascii="Calibri" w:hAnsi="Calibri"/>
          <w:sz w:val="28"/>
          <w:szCs w:val="28"/>
        </w:rPr>
        <w:br w:type="page"/>
      </w:r>
    </w:p>
    <w:p w14:paraId="541DD1CE" w14:textId="77777777" w:rsidR="007B637B" w:rsidRPr="00064E89" w:rsidRDefault="008219CF" w:rsidP="00FE2B39">
      <w:pPr>
        <w:pStyle w:val="H3"/>
        <w:spacing w:after="0"/>
        <w:rPr>
          <w:rFonts w:ascii="Calibri" w:hAnsi="Calibri"/>
          <w:sz w:val="28"/>
          <w:szCs w:val="28"/>
        </w:rPr>
      </w:pPr>
      <w:r w:rsidRPr="00064E89">
        <w:rPr>
          <w:rFonts w:ascii="Calibri" w:hAnsi="Calibri"/>
          <w:sz w:val="28"/>
          <w:szCs w:val="28"/>
        </w:rPr>
        <w:lastRenderedPageBreak/>
        <w:t>Bui</w:t>
      </w:r>
      <w:r w:rsidR="004F7A13" w:rsidRPr="00064E89">
        <w:rPr>
          <w:rFonts w:ascii="Calibri" w:hAnsi="Calibri"/>
          <w:sz w:val="28"/>
          <w:szCs w:val="28"/>
        </w:rPr>
        <w:t xml:space="preserve">lding Block </w:t>
      </w:r>
      <w:r w:rsidRPr="00064E89">
        <w:rPr>
          <w:rFonts w:ascii="Calibri" w:hAnsi="Calibri"/>
          <w:sz w:val="28"/>
          <w:szCs w:val="28"/>
        </w:rPr>
        <w:t>#</w:t>
      </w:r>
      <w:r w:rsidR="004F7A13" w:rsidRPr="00064E89">
        <w:rPr>
          <w:rFonts w:ascii="Calibri" w:hAnsi="Calibri"/>
          <w:sz w:val="28"/>
          <w:szCs w:val="28"/>
        </w:rPr>
        <w:t>6: Measuring Success</w:t>
      </w:r>
    </w:p>
    <w:tbl>
      <w:tblPr>
        <w:tblStyle w:val="TableGrid"/>
        <w:tblW w:w="0" w:type="auto"/>
        <w:tblLook w:val="04A0" w:firstRow="1" w:lastRow="0" w:firstColumn="1" w:lastColumn="0" w:noHBand="0" w:noVBand="1"/>
      </w:tblPr>
      <w:tblGrid>
        <w:gridCol w:w="2635"/>
        <w:gridCol w:w="2635"/>
        <w:gridCol w:w="2635"/>
        <w:gridCol w:w="2635"/>
        <w:gridCol w:w="2636"/>
      </w:tblGrid>
      <w:tr w:rsidR="00A93F42" w:rsidRPr="00064E89" w14:paraId="46CF9A3E" w14:textId="77777777" w:rsidTr="00A93F42">
        <w:tc>
          <w:tcPr>
            <w:tcW w:w="2635" w:type="dxa"/>
          </w:tcPr>
          <w:p w14:paraId="7AFB8B9B" w14:textId="075D4E9F" w:rsidR="00A93F42" w:rsidRPr="00064E89" w:rsidRDefault="00A93F42" w:rsidP="00DA0FE7">
            <w:pPr>
              <w:keepNext/>
              <w:rPr>
                <w:rFonts w:ascii="Calibri" w:hAnsi="Calibri"/>
                <w:sz w:val="20"/>
                <w:szCs w:val="20"/>
              </w:rPr>
            </w:pPr>
            <w:r w:rsidRPr="00064E89">
              <w:rPr>
                <w:rFonts w:ascii="Calibri" w:hAnsi="Calibri"/>
                <w:sz w:val="20"/>
                <w:szCs w:val="20"/>
              </w:rPr>
              <w:t>Tracking Outcomes</w:t>
            </w:r>
          </w:p>
        </w:tc>
        <w:tc>
          <w:tcPr>
            <w:tcW w:w="2635" w:type="dxa"/>
          </w:tcPr>
          <w:p w14:paraId="1F27A821" w14:textId="219DDDC4" w:rsidR="00A93F42" w:rsidRPr="00064E89" w:rsidRDefault="00A93F42" w:rsidP="00DA0FE7">
            <w:pPr>
              <w:keepNext/>
              <w:rPr>
                <w:rFonts w:ascii="Calibri" w:hAnsi="Calibri"/>
                <w:sz w:val="20"/>
                <w:szCs w:val="20"/>
              </w:rPr>
            </w:pPr>
          </w:p>
        </w:tc>
        <w:tc>
          <w:tcPr>
            <w:tcW w:w="2635" w:type="dxa"/>
          </w:tcPr>
          <w:p w14:paraId="4F69C657" w14:textId="40515DED" w:rsidR="00A93F42" w:rsidRPr="00064E89" w:rsidRDefault="00A93F42" w:rsidP="00DA0FE7">
            <w:pPr>
              <w:keepNext/>
              <w:rPr>
                <w:rFonts w:ascii="Calibri" w:hAnsi="Calibri"/>
                <w:sz w:val="20"/>
                <w:szCs w:val="20"/>
              </w:rPr>
            </w:pPr>
          </w:p>
        </w:tc>
        <w:tc>
          <w:tcPr>
            <w:tcW w:w="2635" w:type="dxa"/>
          </w:tcPr>
          <w:p w14:paraId="27EAD4F8" w14:textId="0C8D3002" w:rsidR="00A93F42" w:rsidRPr="00064E89" w:rsidRDefault="00A93F42" w:rsidP="00DA0FE7">
            <w:pPr>
              <w:keepNext/>
              <w:rPr>
                <w:rFonts w:ascii="Calibri" w:hAnsi="Calibri"/>
                <w:sz w:val="20"/>
                <w:szCs w:val="20"/>
              </w:rPr>
            </w:pPr>
          </w:p>
        </w:tc>
        <w:tc>
          <w:tcPr>
            <w:tcW w:w="2636" w:type="dxa"/>
          </w:tcPr>
          <w:p w14:paraId="76F8EE01" w14:textId="1F776737" w:rsidR="00A93F42" w:rsidRPr="00064E89" w:rsidRDefault="00A93F42" w:rsidP="00DA0FE7">
            <w:pPr>
              <w:keepNext/>
              <w:rPr>
                <w:rFonts w:ascii="Calibri" w:hAnsi="Calibri"/>
                <w:sz w:val="20"/>
                <w:szCs w:val="20"/>
              </w:rPr>
            </w:pPr>
          </w:p>
        </w:tc>
      </w:tr>
      <w:tr w:rsidR="00A93F42" w:rsidRPr="00064E89" w14:paraId="432C0615" w14:textId="77777777" w:rsidTr="00A93F42">
        <w:tc>
          <w:tcPr>
            <w:tcW w:w="2635" w:type="dxa"/>
          </w:tcPr>
          <w:p w14:paraId="255D1C5C" w14:textId="77777777" w:rsidR="00A93F42" w:rsidRPr="00064E89" w:rsidRDefault="00A93F42" w:rsidP="00A93F42">
            <w:pPr>
              <w:rPr>
                <w:rFonts w:ascii="Calibri" w:hAnsi="Calibri"/>
                <w:sz w:val="20"/>
                <w:szCs w:val="20"/>
              </w:rPr>
            </w:pPr>
          </w:p>
        </w:tc>
        <w:tc>
          <w:tcPr>
            <w:tcW w:w="2635" w:type="dxa"/>
          </w:tcPr>
          <w:p w14:paraId="0015B51D" w14:textId="77777777" w:rsidR="00A93F42" w:rsidRPr="00064E89" w:rsidRDefault="00A93F42" w:rsidP="00A93F42">
            <w:pPr>
              <w:rPr>
                <w:rFonts w:ascii="Calibri" w:hAnsi="Calibri"/>
                <w:sz w:val="20"/>
                <w:szCs w:val="20"/>
              </w:rPr>
            </w:pPr>
            <w:r w:rsidRPr="00064E89">
              <w:rPr>
                <w:rFonts w:ascii="Calibri" w:hAnsi="Calibri"/>
                <w:sz w:val="20"/>
                <w:szCs w:val="20"/>
              </w:rPr>
              <w:t xml:space="preserve">Measurement in relation to state and national metrics is not being done.  </w:t>
            </w:r>
            <w:r w:rsidRPr="00064E89">
              <w:rPr>
                <w:rFonts w:ascii="Calibri" w:hAnsi="Calibri"/>
                <w:sz w:val="20"/>
                <w:szCs w:val="20"/>
              </w:rPr>
              <w:t xml:space="preserve">No measurement is being done. </w:t>
            </w:r>
          </w:p>
        </w:tc>
        <w:tc>
          <w:tcPr>
            <w:tcW w:w="2635" w:type="dxa"/>
          </w:tcPr>
          <w:p w14:paraId="5BD1DC25" w14:textId="77777777" w:rsidR="00A93F42" w:rsidRPr="00064E89" w:rsidRDefault="00A93F42" w:rsidP="00A93F42">
            <w:pPr>
              <w:rPr>
                <w:rFonts w:ascii="Calibri" w:hAnsi="Calibri"/>
                <w:sz w:val="20"/>
                <w:szCs w:val="20"/>
              </w:rPr>
            </w:pPr>
            <w:r w:rsidRPr="00064E89">
              <w:rPr>
                <w:rFonts w:ascii="Calibri" w:hAnsi="Calibri"/>
                <w:sz w:val="20"/>
                <w:szCs w:val="20"/>
              </w:rPr>
              <w:t xml:space="preserve">Measurement in relation to state or national metrics is being done. Clinical metrics have been agreed. Methods for measuring them have been defined. </w:t>
            </w:r>
          </w:p>
        </w:tc>
        <w:tc>
          <w:tcPr>
            <w:tcW w:w="2635" w:type="dxa"/>
          </w:tcPr>
          <w:p w14:paraId="1CF763A4" w14:textId="77777777" w:rsidR="00A93F42" w:rsidRPr="00064E89" w:rsidRDefault="00A93F42" w:rsidP="00A93F42">
            <w:pPr>
              <w:rPr>
                <w:rFonts w:ascii="Calibri" w:hAnsi="Calibri"/>
                <w:sz w:val="20"/>
                <w:szCs w:val="20"/>
              </w:rPr>
            </w:pPr>
            <w:proofErr w:type="gramStart"/>
            <w:r w:rsidRPr="00064E89">
              <w:rPr>
                <w:rFonts w:ascii="Calibri" w:hAnsi="Calibri"/>
                <w:sz w:val="20"/>
                <w:szCs w:val="20"/>
              </w:rPr>
              <w:t>All of the</w:t>
            </w:r>
            <w:proofErr w:type="gramEnd"/>
            <w:r w:rsidRPr="00064E89">
              <w:rPr>
                <w:rFonts w:ascii="Calibri" w:hAnsi="Calibri"/>
                <w:sz w:val="20"/>
                <w:szCs w:val="20"/>
              </w:rPr>
              <w:t xml:space="preserve"> above, plus: Clinical metrics are being measured regularly, but reports are not consistently reviewed by leadership or shared with providers. </w:t>
            </w:r>
          </w:p>
        </w:tc>
        <w:tc>
          <w:tcPr>
            <w:tcW w:w="2636" w:type="dxa"/>
          </w:tcPr>
          <w:p w14:paraId="59B656C7" w14:textId="77777777" w:rsidR="00A93F42" w:rsidRPr="00064E89" w:rsidRDefault="00A93F42" w:rsidP="00A93F42">
            <w:pPr>
              <w:rPr>
                <w:rFonts w:ascii="Calibri" w:hAnsi="Calibri"/>
                <w:sz w:val="20"/>
                <w:szCs w:val="20"/>
              </w:rPr>
            </w:pPr>
            <w:r w:rsidRPr="00064E89">
              <w:rPr>
                <w:rFonts w:ascii="Calibri" w:hAnsi="Calibri"/>
                <w:sz w:val="20"/>
                <w:szCs w:val="20"/>
              </w:rPr>
              <w:t xml:space="preserve">Clinical metrics in relation to state or national metrics are measured regularly. Results are reviewed by leadership and providers at least quarterly.  Compliance with prescribing guidelines is fully monitored and enforced with all providers. Suggestions for systematic improvement are encouraged. Leadership decides what changes or adjustments are needed.  These changes are implemented as a high priority. </w:t>
            </w:r>
          </w:p>
        </w:tc>
      </w:tr>
      <w:tr w:rsidR="00A93F42" w:rsidRPr="00064E89" w14:paraId="7A3E7F2D" w14:textId="77777777" w:rsidTr="00A93F42">
        <w:tc>
          <w:tcPr>
            <w:tcW w:w="2635" w:type="dxa"/>
          </w:tcPr>
          <w:p w14:paraId="0AF21BCA" w14:textId="77777777" w:rsidR="00A93F42" w:rsidRPr="00064E89" w:rsidRDefault="00A93F42" w:rsidP="00DA0FE7">
            <w:pPr>
              <w:keepNext/>
              <w:rPr>
                <w:rFonts w:ascii="Calibri" w:hAnsi="Calibri"/>
                <w:sz w:val="20"/>
                <w:szCs w:val="20"/>
              </w:rPr>
            </w:pPr>
            <w:r w:rsidRPr="00064E89">
              <w:rPr>
                <w:rFonts w:ascii="Calibri" w:hAnsi="Calibri"/>
                <w:sz w:val="20"/>
                <w:szCs w:val="20"/>
              </w:rPr>
              <w:t>Tracking Processes</w:t>
            </w:r>
          </w:p>
        </w:tc>
        <w:tc>
          <w:tcPr>
            <w:tcW w:w="2635" w:type="dxa"/>
          </w:tcPr>
          <w:p w14:paraId="0520C4CA" w14:textId="77777777" w:rsidR="00A93F42" w:rsidRPr="00064E89" w:rsidRDefault="00A93F42" w:rsidP="00DA0FE7">
            <w:pPr>
              <w:keepNext/>
              <w:rPr>
                <w:rFonts w:ascii="Calibri" w:hAnsi="Calibri"/>
                <w:sz w:val="20"/>
                <w:szCs w:val="20"/>
              </w:rPr>
            </w:pPr>
          </w:p>
        </w:tc>
        <w:tc>
          <w:tcPr>
            <w:tcW w:w="2635" w:type="dxa"/>
          </w:tcPr>
          <w:p w14:paraId="552A39E5" w14:textId="77777777" w:rsidR="00A93F42" w:rsidRPr="00064E89" w:rsidRDefault="00A93F42" w:rsidP="00DA0FE7">
            <w:pPr>
              <w:keepNext/>
              <w:rPr>
                <w:rFonts w:ascii="Calibri" w:hAnsi="Calibri"/>
                <w:sz w:val="20"/>
                <w:szCs w:val="20"/>
              </w:rPr>
            </w:pPr>
          </w:p>
        </w:tc>
        <w:tc>
          <w:tcPr>
            <w:tcW w:w="2635" w:type="dxa"/>
          </w:tcPr>
          <w:p w14:paraId="4FFBEF17" w14:textId="77777777" w:rsidR="00A93F42" w:rsidRPr="00064E89" w:rsidRDefault="00A93F42" w:rsidP="00DA0FE7">
            <w:pPr>
              <w:keepNext/>
              <w:rPr>
                <w:rFonts w:ascii="Calibri" w:hAnsi="Calibri"/>
                <w:sz w:val="20"/>
                <w:szCs w:val="20"/>
              </w:rPr>
            </w:pPr>
          </w:p>
        </w:tc>
        <w:tc>
          <w:tcPr>
            <w:tcW w:w="2636" w:type="dxa"/>
          </w:tcPr>
          <w:p w14:paraId="0F102A96" w14:textId="77777777" w:rsidR="00A93F42" w:rsidRPr="00064E89" w:rsidRDefault="00A93F42" w:rsidP="00DA0FE7">
            <w:pPr>
              <w:keepNext/>
              <w:rPr>
                <w:rFonts w:ascii="Calibri" w:hAnsi="Calibri"/>
                <w:sz w:val="20"/>
                <w:szCs w:val="20"/>
              </w:rPr>
            </w:pPr>
          </w:p>
        </w:tc>
      </w:tr>
      <w:tr w:rsidR="00A93F42" w:rsidRPr="00064E89" w14:paraId="42D2AE57" w14:textId="77777777" w:rsidTr="00A93F42">
        <w:tc>
          <w:tcPr>
            <w:tcW w:w="2635" w:type="dxa"/>
          </w:tcPr>
          <w:p w14:paraId="4AA1D483" w14:textId="22417449" w:rsidR="00A93F42" w:rsidRPr="00064E89" w:rsidRDefault="00A93F42" w:rsidP="00A93F42">
            <w:pPr>
              <w:rPr>
                <w:rFonts w:ascii="Calibri" w:hAnsi="Calibri"/>
                <w:sz w:val="20"/>
                <w:szCs w:val="20"/>
              </w:rPr>
            </w:pPr>
          </w:p>
        </w:tc>
        <w:tc>
          <w:tcPr>
            <w:tcW w:w="2635" w:type="dxa"/>
          </w:tcPr>
          <w:p w14:paraId="3D628679" w14:textId="3CBDA85F" w:rsidR="00A93F42" w:rsidRPr="00064E89" w:rsidRDefault="00A93F42" w:rsidP="00A93F42">
            <w:pPr>
              <w:rPr>
                <w:rFonts w:ascii="Calibri" w:hAnsi="Calibri"/>
                <w:sz w:val="20"/>
                <w:szCs w:val="20"/>
              </w:rPr>
            </w:pPr>
            <w:r w:rsidRPr="00064E89">
              <w:rPr>
                <w:rFonts w:ascii="Calibri" w:hAnsi="Calibri"/>
                <w:sz w:val="20"/>
                <w:szCs w:val="20"/>
              </w:rPr>
              <w:t xml:space="preserve">Pain management and opioid prescribing practices have not been reviewed. </w:t>
            </w:r>
          </w:p>
        </w:tc>
        <w:tc>
          <w:tcPr>
            <w:tcW w:w="2635" w:type="dxa"/>
          </w:tcPr>
          <w:p w14:paraId="07CDA47B" w14:textId="52F12ACA" w:rsidR="00A93F42" w:rsidRPr="00064E89" w:rsidRDefault="00A93F42" w:rsidP="00A93F42">
            <w:pPr>
              <w:rPr>
                <w:rFonts w:ascii="Calibri" w:hAnsi="Calibri"/>
                <w:sz w:val="20"/>
                <w:szCs w:val="20"/>
              </w:rPr>
            </w:pPr>
            <w:r w:rsidRPr="00064E89">
              <w:rPr>
                <w:rFonts w:ascii="Calibri" w:hAnsi="Calibri"/>
                <w:sz w:val="20"/>
                <w:szCs w:val="20"/>
              </w:rPr>
              <w:t xml:space="preserve">Methods to measure progress on goals and associated policies have been defined, but only partially implemented. </w:t>
            </w:r>
          </w:p>
        </w:tc>
        <w:tc>
          <w:tcPr>
            <w:tcW w:w="2635" w:type="dxa"/>
          </w:tcPr>
          <w:p w14:paraId="772BB1F6" w14:textId="09035EE7" w:rsidR="00A93F42" w:rsidRPr="00064E89" w:rsidRDefault="00A93F42" w:rsidP="00A93F42">
            <w:pPr>
              <w:rPr>
                <w:rFonts w:ascii="Calibri" w:hAnsi="Calibri"/>
                <w:sz w:val="20"/>
                <w:szCs w:val="20"/>
              </w:rPr>
            </w:pPr>
            <w:r w:rsidRPr="00064E89">
              <w:rPr>
                <w:rFonts w:ascii="Calibri" w:hAnsi="Calibri"/>
                <w:sz w:val="20"/>
                <w:szCs w:val="20"/>
              </w:rPr>
              <w:t xml:space="preserve">Progress on goals and associated policies are being measured regularly.  Reports are occasionally reviewed by leadership, but not consistently.  Compliance is not fully monitored and enforced with all providers. </w:t>
            </w:r>
          </w:p>
        </w:tc>
        <w:tc>
          <w:tcPr>
            <w:tcW w:w="2636" w:type="dxa"/>
          </w:tcPr>
          <w:p w14:paraId="62571BCF" w14:textId="0813E2C6" w:rsidR="00A93F42" w:rsidRPr="00064E89" w:rsidRDefault="00A93F42" w:rsidP="00A93F42">
            <w:pPr>
              <w:rPr>
                <w:rFonts w:ascii="Calibri" w:hAnsi="Calibri"/>
                <w:sz w:val="20"/>
                <w:szCs w:val="20"/>
              </w:rPr>
            </w:pPr>
            <w:r w:rsidRPr="00064E89">
              <w:rPr>
                <w:rFonts w:ascii="Calibri" w:hAnsi="Calibri"/>
                <w:sz w:val="20"/>
                <w:szCs w:val="20"/>
              </w:rPr>
              <w:t xml:space="preserve">Goals and policies are monitored and reported on at least quarterly with leadership and other providers.  The leadership shares and discusses results with the clinical team and encourages suggestions for improvement. Leadership decides what changes or adjustments are needed.  These changes are implemented as a high priority. </w:t>
            </w:r>
          </w:p>
        </w:tc>
      </w:tr>
      <w:tr w:rsidR="00A93F42" w:rsidRPr="00064E89" w14:paraId="2F5327D7" w14:textId="77777777" w:rsidTr="00A93F42">
        <w:tc>
          <w:tcPr>
            <w:tcW w:w="2635" w:type="dxa"/>
          </w:tcPr>
          <w:p w14:paraId="277706CA" w14:textId="77777777" w:rsidR="00A93F42" w:rsidRPr="00064E89" w:rsidRDefault="00A93F42" w:rsidP="00DA0FE7">
            <w:pPr>
              <w:keepNext/>
              <w:rPr>
                <w:rFonts w:ascii="Calibri" w:hAnsi="Calibri"/>
                <w:sz w:val="20"/>
                <w:szCs w:val="20"/>
              </w:rPr>
            </w:pPr>
            <w:r w:rsidRPr="00064E89">
              <w:rPr>
                <w:rFonts w:ascii="Calibri" w:hAnsi="Calibri"/>
                <w:sz w:val="20"/>
                <w:szCs w:val="20"/>
              </w:rPr>
              <w:t>Tracking Patient Satisfaction/</w:t>
            </w:r>
            <w:r w:rsidR="001E7DDE">
              <w:rPr>
                <w:rFonts w:ascii="Calibri" w:hAnsi="Calibri"/>
                <w:sz w:val="20"/>
                <w:szCs w:val="20"/>
              </w:rPr>
              <w:t xml:space="preserve"> </w:t>
            </w:r>
            <w:r w:rsidRPr="00064E89">
              <w:rPr>
                <w:rFonts w:ascii="Calibri" w:hAnsi="Calibri"/>
                <w:sz w:val="20"/>
                <w:szCs w:val="20"/>
              </w:rPr>
              <w:t>Quality of Life</w:t>
            </w:r>
          </w:p>
        </w:tc>
        <w:tc>
          <w:tcPr>
            <w:tcW w:w="2635" w:type="dxa"/>
          </w:tcPr>
          <w:p w14:paraId="1C4C3C4A" w14:textId="77777777" w:rsidR="00A93F42" w:rsidRPr="00064E89" w:rsidRDefault="00A93F42" w:rsidP="00DA0FE7">
            <w:pPr>
              <w:keepNext/>
              <w:rPr>
                <w:rFonts w:ascii="Calibri" w:hAnsi="Calibri"/>
                <w:sz w:val="20"/>
                <w:szCs w:val="20"/>
              </w:rPr>
            </w:pPr>
          </w:p>
        </w:tc>
        <w:tc>
          <w:tcPr>
            <w:tcW w:w="2635" w:type="dxa"/>
          </w:tcPr>
          <w:p w14:paraId="33B1B29C" w14:textId="77777777" w:rsidR="00A93F42" w:rsidRPr="00064E89" w:rsidRDefault="00A93F42" w:rsidP="00DA0FE7">
            <w:pPr>
              <w:keepNext/>
              <w:rPr>
                <w:rFonts w:ascii="Calibri" w:hAnsi="Calibri"/>
                <w:sz w:val="20"/>
                <w:szCs w:val="20"/>
              </w:rPr>
            </w:pPr>
          </w:p>
        </w:tc>
        <w:tc>
          <w:tcPr>
            <w:tcW w:w="2635" w:type="dxa"/>
          </w:tcPr>
          <w:p w14:paraId="431DC857" w14:textId="77777777" w:rsidR="00A93F42" w:rsidRPr="00064E89" w:rsidRDefault="00A93F42" w:rsidP="00DA0FE7">
            <w:pPr>
              <w:keepNext/>
              <w:rPr>
                <w:rFonts w:ascii="Calibri" w:hAnsi="Calibri"/>
                <w:sz w:val="20"/>
                <w:szCs w:val="20"/>
              </w:rPr>
            </w:pPr>
          </w:p>
        </w:tc>
        <w:tc>
          <w:tcPr>
            <w:tcW w:w="2636" w:type="dxa"/>
          </w:tcPr>
          <w:p w14:paraId="689B77E3" w14:textId="77777777" w:rsidR="00A93F42" w:rsidRPr="00064E89" w:rsidRDefault="00A93F42" w:rsidP="00DA0FE7">
            <w:pPr>
              <w:keepNext/>
              <w:rPr>
                <w:rFonts w:ascii="Calibri" w:hAnsi="Calibri"/>
                <w:sz w:val="20"/>
                <w:szCs w:val="20"/>
              </w:rPr>
            </w:pPr>
          </w:p>
        </w:tc>
      </w:tr>
      <w:tr w:rsidR="00A93F42" w:rsidRPr="00064E89" w14:paraId="62BF7ED3" w14:textId="77777777" w:rsidTr="00A93F42">
        <w:tc>
          <w:tcPr>
            <w:tcW w:w="2635" w:type="dxa"/>
          </w:tcPr>
          <w:p w14:paraId="242C3DEC" w14:textId="77777777" w:rsidR="00A93F42" w:rsidRPr="00064E89" w:rsidRDefault="00A93F42" w:rsidP="00A93F42">
            <w:pPr>
              <w:rPr>
                <w:rFonts w:ascii="Calibri" w:hAnsi="Calibri"/>
                <w:sz w:val="20"/>
                <w:szCs w:val="20"/>
              </w:rPr>
            </w:pPr>
          </w:p>
        </w:tc>
        <w:tc>
          <w:tcPr>
            <w:tcW w:w="2635" w:type="dxa"/>
          </w:tcPr>
          <w:p w14:paraId="50503FE7" w14:textId="77777777" w:rsidR="00A93F42" w:rsidRPr="00064E89" w:rsidRDefault="00A93F42" w:rsidP="00A93F42">
            <w:pPr>
              <w:rPr>
                <w:rFonts w:ascii="Calibri" w:hAnsi="Calibri"/>
                <w:sz w:val="20"/>
                <w:szCs w:val="20"/>
              </w:rPr>
            </w:pPr>
            <w:r w:rsidRPr="00064E89">
              <w:rPr>
                <w:rFonts w:ascii="Calibri" w:hAnsi="Calibri"/>
                <w:sz w:val="20"/>
                <w:szCs w:val="20"/>
              </w:rPr>
              <w:t xml:space="preserve">Patient satisfaction related to pain management is not assessed, other than the traditional 0-10 pain scale. </w:t>
            </w:r>
          </w:p>
        </w:tc>
        <w:tc>
          <w:tcPr>
            <w:tcW w:w="2635" w:type="dxa"/>
          </w:tcPr>
          <w:p w14:paraId="31B07176" w14:textId="77777777" w:rsidR="00A93F42" w:rsidRPr="00064E89" w:rsidRDefault="00A93F42" w:rsidP="00A93F42">
            <w:pPr>
              <w:rPr>
                <w:rFonts w:ascii="Calibri" w:hAnsi="Calibri"/>
                <w:sz w:val="20"/>
                <w:szCs w:val="20"/>
              </w:rPr>
            </w:pPr>
            <w:r w:rsidRPr="00064E89">
              <w:rPr>
                <w:rFonts w:ascii="Calibri" w:hAnsi="Calibri"/>
                <w:sz w:val="20"/>
                <w:szCs w:val="20"/>
              </w:rPr>
              <w:t xml:space="preserve">A method for assessing patient satisfaction has been developed and includes a broad array of indicators, including ability to function and Quality of Life. </w:t>
            </w:r>
          </w:p>
        </w:tc>
        <w:tc>
          <w:tcPr>
            <w:tcW w:w="2635" w:type="dxa"/>
          </w:tcPr>
          <w:p w14:paraId="58FD8EF6" w14:textId="77777777" w:rsidR="00A93F42" w:rsidRPr="00064E89" w:rsidRDefault="00A93F42" w:rsidP="00A93F42">
            <w:pPr>
              <w:rPr>
                <w:rFonts w:ascii="Calibri" w:hAnsi="Calibri"/>
                <w:sz w:val="20"/>
                <w:szCs w:val="20"/>
              </w:rPr>
            </w:pPr>
            <w:proofErr w:type="gramStart"/>
            <w:r w:rsidRPr="00064E89">
              <w:rPr>
                <w:rFonts w:ascii="Calibri" w:hAnsi="Calibri"/>
                <w:sz w:val="20"/>
                <w:szCs w:val="20"/>
              </w:rPr>
              <w:t>All of the</w:t>
            </w:r>
            <w:proofErr w:type="gramEnd"/>
            <w:r w:rsidRPr="00064E89">
              <w:rPr>
                <w:rFonts w:ascii="Calibri" w:hAnsi="Calibri"/>
                <w:sz w:val="20"/>
                <w:szCs w:val="20"/>
              </w:rPr>
              <w:t xml:space="preserve"> above, plus data collection has begun on patient satisfaction. </w:t>
            </w:r>
          </w:p>
        </w:tc>
        <w:tc>
          <w:tcPr>
            <w:tcW w:w="2636" w:type="dxa"/>
          </w:tcPr>
          <w:p w14:paraId="12625E11" w14:textId="77777777" w:rsidR="00A93F42" w:rsidRPr="00064E89" w:rsidRDefault="00A93F42" w:rsidP="00A93F42">
            <w:pPr>
              <w:rPr>
                <w:rFonts w:ascii="Calibri" w:hAnsi="Calibri"/>
                <w:sz w:val="20"/>
                <w:szCs w:val="20"/>
              </w:rPr>
            </w:pPr>
            <w:r w:rsidRPr="00064E89">
              <w:rPr>
                <w:rFonts w:ascii="Calibri" w:hAnsi="Calibri"/>
                <w:sz w:val="20"/>
                <w:szCs w:val="20"/>
              </w:rPr>
              <w:t xml:space="preserve">All of the above, plus patient satisfaction results are shared at least quarterly by a quality improvement team and at least annually with the entire staff. If areas for </w:t>
            </w:r>
            <w:r w:rsidRPr="00064E89">
              <w:rPr>
                <w:rFonts w:ascii="Calibri" w:hAnsi="Calibri"/>
                <w:sz w:val="20"/>
                <w:szCs w:val="20"/>
              </w:rPr>
              <w:lastRenderedPageBreak/>
              <w:t xml:space="preserve">improvement still exist, action plans to address those areas are developed and acted upon. </w:t>
            </w:r>
          </w:p>
        </w:tc>
      </w:tr>
    </w:tbl>
    <w:p w14:paraId="67715DE2" w14:textId="77777777" w:rsidR="007B637B" w:rsidRPr="00064E89" w:rsidRDefault="007B637B" w:rsidP="00A93F42">
      <w:pPr>
        <w:keepNext/>
        <w:rPr>
          <w:rFonts w:ascii="Calibri" w:hAnsi="Calibri"/>
          <w:sz w:val="20"/>
          <w:szCs w:val="20"/>
        </w:rPr>
      </w:pPr>
    </w:p>
    <w:sectPr w:rsidR="007B637B" w:rsidRPr="00064E89" w:rsidSect="00373818">
      <w:headerReference w:type="default" r:id="rId14"/>
      <w:footerReference w:type="even" r:id="rId15"/>
      <w:footerReference w:type="default" r:id="rId16"/>
      <w:type w:val="continuous"/>
      <w:pgSz w:w="15840" w:h="12240" w:orient="landscape"/>
      <w:pgMar w:top="864" w:right="576" w:bottom="576" w:left="864"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2ED2F" w14:textId="77777777" w:rsidR="00091B8C" w:rsidRDefault="00091B8C" w:rsidP="007B637B">
      <w:pPr>
        <w:spacing w:line="240" w:lineRule="auto"/>
      </w:pPr>
      <w:r>
        <w:separator/>
      </w:r>
    </w:p>
  </w:endnote>
  <w:endnote w:type="continuationSeparator" w:id="0">
    <w:p w14:paraId="510FD2DD" w14:textId="77777777" w:rsidR="00091B8C" w:rsidRDefault="00091B8C" w:rsidP="007B637B">
      <w:pPr>
        <w:spacing w:line="240" w:lineRule="auto"/>
      </w:pPr>
      <w:r>
        <w:continuationSeparator/>
      </w:r>
    </w:p>
  </w:endnote>
  <w:endnote w:type="continuationNotice" w:id="1">
    <w:p w14:paraId="522113BB" w14:textId="77777777" w:rsidR="00091B8C" w:rsidRDefault="00091B8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23606" w14:textId="77777777" w:rsidR="00EB001B" w:rsidRDefault="004F7A13" w:rsidP="005D561C">
    <w:pPr>
      <w:pStyle w:val="Footer"/>
      <w:framePr w:wrap="none" w:vAnchor="text" w:hAnchor="margin" w:xAlign="right" w:y="1"/>
      <w:rPr>
        <w:rStyle w:val="PageNumber"/>
      </w:rPr>
    </w:pPr>
    <w:r>
      <w:t xml:space="preserve">Page </w:t>
    </w:r>
    <w:r w:rsidR="00BB7FA7">
      <w:rPr>
        <w:rStyle w:val="PageNumber"/>
      </w:rPr>
      <w:fldChar w:fldCharType="begin"/>
    </w:r>
    <w:r>
      <w:rPr>
        <w:rStyle w:val="PageNumber"/>
      </w:rPr>
      <w:instrText xml:space="preserve">PAGE \* MERGEFORMAT </w:instrText>
    </w:r>
    <w:r w:rsidR="00BB7FA7">
      <w:rPr>
        <w:rStyle w:val="PageNumber"/>
      </w:rPr>
      <w:fldChar w:fldCharType="end"/>
    </w:r>
    <w:r>
      <w:t xml:space="preserve">of </w:t>
    </w:r>
    <w:r w:rsidR="00BB7FA7">
      <w:rPr>
        <w:rStyle w:val="PageNumber"/>
      </w:rPr>
      <w:fldChar w:fldCharType="begin"/>
    </w:r>
    <w:r>
      <w:rPr>
        <w:rStyle w:val="PageNumber"/>
      </w:rPr>
      <w:instrText xml:space="preserve">NUMPAGES \* MERGEFORMAT </w:instrText>
    </w:r>
    <w:r w:rsidR="00BB7FA7">
      <w:rPr>
        <w:rStyle w:val="PageNumber"/>
      </w:rPr>
      <w:fldChar w:fldCharType="end"/>
    </w:r>
  </w:p>
  <w:p w14:paraId="6BBF8910" w14:textId="77777777" w:rsidR="00EB001B" w:rsidRDefault="00091B8C" w:rsidP="00EB00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sz w:val="20"/>
        <w:szCs w:val="20"/>
      </w:rPr>
      <w:id w:val="-1556767612"/>
      <w:docPartObj>
        <w:docPartGallery w:val="Page Numbers (Bottom of Page)"/>
        <w:docPartUnique/>
      </w:docPartObj>
    </w:sdtPr>
    <w:sdtEndPr/>
    <w:sdtContent>
      <w:p w14:paraId="6F4021FE" w14:textId="6EB5AD67" w:rsidR="00064E89" w:rsidRPr="00064E89" w:rsidRDefault="00064E89">
        <w:pPr>
          <w:pStyle w:val="Footer"/>
          <w:jc w:val="right"/>
          <w:rPr>
            <w:rFonts w:ascii="Calibri" w:hAnsi="Calibri"/>
            <w:sz w:val="20"/>
            <w:szCs w:val="20"/>
          </w:rPr>
        </w:pPr>
        <w:r w:rsidRPr="00064E89">
          <w:rPr>
            <w:rFonts w:ascii="Calibri" w:hAnsi="Calibri"/>
            <w:sz w:val="20"/>
            <w:szCs w:val="20"/>
          </w:rPr>
          <w:t xml:space="preserve">Page | </w:t>
        </w:r>
        <w:r w:rsidR="00BB7FA7" w:rsidRPr="00064E89">
          <w:rPr>
            <w:rFonts w:ascii="Calibri" w:hAnsi="Calibri"/>
            <w:sz w:val="20"/>
            <w:szCs w:val="20"/>
          </w:rPr>
          <w:fldChar w:fldCharType="begin"/>
        </w:r>
        <w:r w:rsidRPr="00064E89">
          <w:rPr>
            <w:rFonts w:ascii="Calibri" w:hAnsi="Calibri"/>
            <w:sz w:val="20"/>
            <w:szCs w:val="20"/>
          </w:rPr>
          <w:instrText xml:space="preserve"> PAGE   \* MERGEFORMAT </w:instrText>
        </w:r>
        <w:r w:rsidR="00BB7FA7" w:rsidRPr="00064E89">
          <w:rPr>
            <w:rFonts w:ascii="Calibri" w:hAnsi="Calibri"/>
            <w:sz w:val="20"/>
            <w:szCs w:val="20"/>
          </w:rPr>
          <w:fldChar w:fldCharType="separate"/>
        </w:r>
        <w:r w:rsidR="00702470">
          <w:rPr>
            <w:rFonts w:ascii="Calibri" w:hAnsi="Calibri"/>
            <w:noProof/>
            <w:sz w:val="20"/>
            <w:szCs w:val="20"/>
          </w:rPr>
          <w:t>1</w:t>
        </w:r>
        <w:r w:rsidR="00BB7FA7" w:rsidRPr="00064E89">
          <w:rPr>
            <w:rFonts w:ascii="Calibri" w:hAnsi="Calibri"/>
            <w:noProof/>
            <w:sz w:val="20"/>
            <w:szCs w:val="20"/>
          </w:rPr>
          <w:fldChar w:fldCharType="end"/>
        </w:r>
        <w:r w:rsidRPr="00064E89">
          <w:rPr>
            <w:rFonts w:ascii="Calibri" w:hAnsi="Calibri"/>
            <w:sz w:val="20"/>
            <w:szCs w:val="20"/>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555AEE" w14:textId="77777777" w:rsidR="00091B8C" w:rsidRDefault="00091B8C" w:rsidP="007B637B">
      <w:pPr>
        <w:spacing w:line="240" w:lineRule="auto"/>
      </w:pPr>
      <w:r>
        <w:separator/>
      </w:r>
    </w:p>
  </w:footnote>
  <w:footnote w:type="continuationSeparator" w:id="0">
    <w:p w14:paraId="3B39CE06" w14:textId="77777777" w:rsidR="00091B8C" w:rsidRDefault="00091B8C" w:rsidP="007B637B">
      <w:pPr>
        <w:spacing w:line="240" w:lineRule="auto"/>
      </w:pPr>
      <w:r>
        <w:continuationSeparator/>
      </w:r>
    </w:p>
  </w:footnote>
  <w:footnote w:type="continuationNotice" w:id="1">
    <w:p w14:paraId="561C90FC" w14:textId="77777777" w:rsidR="00091B8C" w:rsidRDefault="00091B8C">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9A019" w14:textId="77777777" w:rsidR="00BA42E1" w:rsidRDefault="00BA42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130"/>
    <w:multiLevelType w:val="hybridMultilevel"/>
    <w:tmpl w:val="498A95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EA0BF6"/>
    <w:multiLevelType w:val="multilevel"/>
    <w:tmpl w:val="0409001D"/>
    <w:numStyleLink w:val="Singlepunch"/>
  </w:abstractNum>
  <w:abstractNum w:abstractNumId="2">
    <w:nsid w:val="247A058A"/>
    <w:multiLevelType w:val="hybridMultilevel"/>
    <w:tmpl w:val="6FCEC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88E1CE2"/>
    <w:multiLevelType w:val="multilevel"/>
    <w:tmpl w:val="0409001D"/>
    <w:numStyleLink w:val="Multipunch"/>
  </w:abstractNum>
  <w:abstractNum w:abstractNumId="4">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en Cellarius">
    <w15:presenceInfo w15:providerId="None" w15:userId="Karen Cellari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013EA2"/>
    <w:rsid w:val="00034C56"/>
    <w:rsid w:val="00036E3F"/>
    <w:rsid w:val="0004575D"/>
    <w:rsid w:val="000516CC"/>
    <w:rsid w:val="00064E89"/>
    <w:rsid w:val="00064F3F"/>
    <w:rsid w:val="00065782"/>
    <w:rsid w:val="000659DD"/>
    <w:rsid w:val="00066FE6"/>
    <w:rsid w:val="00067538"/>
    <w:rsid w:val="0007156C"/>
    <w:rsid w:val="00076ACB"/>
    <w:rsid w:val="0008124F"/>
    <w:rsid w:val="0008147B"/>
    <w:rsid w:val="00083494"/>
    <w:rsid w:val="000844F2"/>
    <w:rsid w:val="00084EBB"/>
    <w:rsid w:val="00085F39"/>
    <w:rsid w:val="0008626F"/>
    <w:rsid w:val="00091B8C"/>
    <w:rsid w:val="000A5569"/>
    <w:rsid w:val="000B5D94"/>
    <w:rsid w:val="000B65DF"/>
    <w:rsid w:val="000B71D4"/>
    <w:rsid w:val="000C6819"/>
    <w:rsid w:val="000C7AF4"/>
    <w:rsid w:val="000E531B"/>
    <w:rsid w:val="000E59F4"/>
    <w:rsid w:val="000E78EE"/>
    <w:rsid w:val="000F0C75"/>
    <w:rsid w:val="000F7271"/>
    <w:rsid w:val="00102B1B"/>
    <w:rsid w:val="001112A6"/>
    <w:rsid w:val="00112A54"/>
    <w:rsid w:val="0011687C"/>
    <w:rsid w:val="00121072"/>
    <w:rsid w:val="00121D88"/>
    <w:rsid w:val="00131AF7"/>
    <w:rsid w:val="00132126"/>
    <w:rsid w:val="00135854"/>
    <w:rsid w:val="001372D8"/>
    <w:rsid w:val="00150587"/>
    <w:rsid w:val="00150D37"/>
    <w:rsid w:val="0016081D"/>
    <w:rsid w:val="001647A3"/>
    <w:rsid w:val="001676D7"/>
    <w:rsid w:val="00167800"/>
    <w:rsid w:val="001704C5"/>
    <w:rsid w:val="00172A7B"/>
    <w:rsid w:val="00182186"/>
    <w:rsid w:val="001822A0"/>
    <w:rsid w:val="00185459"/>
    <w:rsid w:val="00187107"/>
    <w:rsid w:val="0019365C"/>
    <w:rsid w:val="001A672C"/>
    <w:rsid w:val="001A6A6D"/>
    <w:rsid w:val="001C1B71"/>
    <w:rsid w:val="001C3761"/>
    <w:rsid w:val="001C69A2"/>
    <w:rsid w:val="001C774D"/>
    <w:rsid w:val="001D2E28"/>
    <w:rsid w:val="001E34D9"/>
    <w:rsid w:val="001E423E"/>
    <w:rsid w:val="001E67B9"/>
    <w:rsid w:val="001E7DDE"/>
    <w:rsid w:val="001F3BCD"/>
    <w:rsid w:val="001F408A"/>
    <w:rsid w:val="001F47BF"/>
    <w:rsid w:val="001F6227"/>
    <w:rsid w:val="00205E6F"/>
    <w:rsid w:val="00206796"/>
    <w:rsid w:val="00210E21"/>
    <w:rsid w:val="00221750"/>
    <w:rsid w:val="0022275F"/>
    <w:rsid w:val="002254DA"/>
    <w:rsid w:val="002273D6"/>
    <w:rsid w:val="002340C9"/>
    <w:rsid w:val="00241614"/>
    <w:rsid w:val="002633EA"/>
    <w:rsid w:val="0026367C"/>
    <w:rsid w:val="00264520"/>
    <w:rsid w:val="00292A5A"/>
    <w:rsid w:val="00294001"/>
    <w:rsid w:val="00294211"/>
    <w:rsid w:val="002952CD"/>
    <w:rsid w:val="002A034C"/>
    <w:rsid w:val="002A7CA2"/>
    <w:rsid w:val="002C2876"/>
    <w:rsid w:val="002C287D"/>
    <w:rsid w:val="002C3DA6"/>
    <w:rsid w:val="002D2BB0"/>
    <w:rsid w:val="002D4C36"/>
    <w:rsid w:val="002E040F"/>
    <w:rsid w:val="002E3C82"/>
    <w:rsid w:val="002F23D7"/>
    <w:rsid w:val="002F2AF3"/>
    <w:rsid w:val="00304024"/>
    <w:rsid w:val="00307006"/>
    <w:rsid w:val="0030773D"/>
    <w:rsid w:val="00326EC1"/>
    <w:rsid w:val="0033289C"/>
    <w:rsid w:val="0034010D"/>
    <w:rsid w:val="00344082"/>
    <w:rsid w:val="00344A5B"/>
    <w:rsid w:val="00345923"/>
    <w:rsid w:val="0034741A"/>
    <w:rsid w:val="003517C4"/>
    <w:rsid w:val="00355D9B"/>
    <w:rsid w:val="00364790"/>
    <w:rsid w:val="003647F0"/>
    <w:rsid w:val="00373818"/>
    <w:rsid w:val="00382EBE"/>
    <w:rsid w:val="0038616F"/>
    <w:rsid w:val="00386E94"/>
    <w:rsid w:val="003A3FFF"/>
    <w:rsid w:val="003A7AE3"/>
    <w:rsid w:val="003B19F7"/>
    <w:rsid w:val="003B5D38"/>
    <w:rsid w:val="003C79F3"/>
    <w:rsid w:val="003D2A89"/>
    <w:rsid w:val="003E0BF0"/>
    <w:rsid w:val="003E281E"/>
    <w:rsid w:val="003E51DC"/>
    <w:rsid w:val="003F18BC"/>
    <w:rsid w:val="00407140"/>
    <w:rsid w:val="004121E9"/>
    <w:rsid w:val="0041319E"/>
    <w:rsid w:val="00415FE3"/>
    <w:rsid w:val="00417396"/>
    <w:rsid w:val="00437464"/>
    <w:rsid w:val="00440567"/>
    <w:rsid w:val="00443C58"/>
    <w:rsid w:val="004448EF"/>
    <w:rsid w:val="00447A28"/>
    <w:rsid w:val="00447D79"/>
    <w:rsid w:val="004506D0"/>
    <w:rsid w:val="00450A24"/>
    <w:rsid w:val="004521A2"/>
    <w:rsid w:val="00452D94"/>
    <w:rsid w:val="00457E2A"/>
    <w:rsid w:val="00461F49"/>
    <w:rsid w:val="00471491"/>
    <w:rsid w:val="0047203E"/>
    <w:rsid w:val="004720BC"/>
    <w:rsid w:val="0048069C"/>
    <w:rsid w:val="00481D9F"/>
    <w:rsid w:val="00485051"/>
    <w:rsid w:val="00490C98"/>
    <w:rsid w:val="0049691F"/>
    <w:rsid w:val="004A2630"/>
    <w:rsid w:val="004A3EBB"/>
    <w:rsid w:val="004A628D"/>
    <w:rsid w:val="004A7E4D"/>
    <w:rsid w:val="004B0C71"/>
    <w:rsid w:val="004B1778"/>
    <w:rsid w:val="004B3D0C"/>
    <w:rsid w:val="004B50C9"/>
    <w:rsid w:val="004D02F0"/>
    <w:rsid w:val="004D3ECA"/>
    <w:rsid w:val="004D678A"/>
    <w:rsid w:val="004E6B58"/>
    <w:rsid w:val="004F7A13"/>
    <w:rsid w:val="00505754"/>
    <w:rsid w:val="005165BE"/>
    <w:rsid w:val="0052049A"/>
    <w:rsid w:val="0052730D"/>
    <w:rsid w:val="00527FA7"/>
    <w:rsid w:val="005316EE"/>
    <w:rsid w:val="00532242"/>
    <w:rsid w:val="005374B3"/>
    <w:rsid w:val="00541752"/>
    <w:rsid w:val="005431C1"/>
    <w:rsid w:val="00551408"/>
    <w:rsid w:val="005571B4"/>
    <w:rsid w:val="00557AB6"/>
    <w:rsid w:val="005716A7"/>
    <w:rsid w:val="00572557"/>
    <w:rsid w:val="00581C97"/>
    <w:rsid w:val="00595891"/>
    <w:rsid w:val="005A539B"/>
    <w:rsid w:val="005A6A3F"/>
    <w:rsid w:val="005B3A59"/>
    <w:rsid w:val="005B55F4"/>
    <w:rsid w:val="005B68F4"/>
    <w:rsid w:val="005C4AD5"/>
    <w:rsid w:val="005C5E26"/>
    <w:rsid w:val="005D14C4"/>
    <w:rsid w:val="005D1C9C"/>
    <w:rsid w:val="005D5B77"/>
    <w:rsid w:val="005D6460"/>
    <w:rsid w:val="005D7344"/>
    <w:rsid w:val="005E2AE8"/>
    <w:rsid w:val="005F2797"/>
    <w:rsid w:val="005F717B"/>
    <w:rsid w:val="00607547"/>
    <w:rsid w:val="0060754E"/>
    <w:rsid w:val="00607CD8"/>
    <w:rsid w:val="00613ED8"/>
    <w:rsid w:val="00616A53"/>
    <w:rsid w:val="006208A4"/>
    <w:rsid w:val="006301EA"/>
    <w:rsid w:val="00633BED"/>
    <w:rsid w:val="00640C96"/>
    <w:rsid w:val="006732CB"/>
    <w:rsid w:val="00680A16"/>
    <w:rsid w:val="0068473B"/>
    <w:rsid w:val="0068501A"/>
    <w:rsid w:val="00691AFB"/>
    <w:rsid w:val="00696778"/>
    <w:rsid w:val="006A1362"/>
    <w:rsid w:val="006A42FD"/>
    <w:rsid w:val="006A673F"/>
    <w:rsid w:val="006B011B"/>
    <w:rsid w:val="006C5ADD"/>
    <w:rsid w:val="006C5BB1"/>
    <w:rsid w:val="006D5BBE"/>
    <w:rsid w:val="006E0219"/>
    <w:rsid w:val="006E1964"/>
    <w:rsid w:val="006F002A"/>
    <w:rsid w:val="006F08CD"/>
    <w:rsid w:val="006F2A96"/>
    <w:rsid w:val="006F328A"/>
    <w:rsid w:val="006F334C"/>
    <w:rsid w:val="00702470"/>
    <w:rsid w:val="00707EA2"/>
    <w:rsid w:val="00710B19"/>
    <w:rsid w:val="00716D9F"/>
    <w:rsid w:val="00721EA6"/>
    <w:rsid w:val="007247AB"/>
    <w:rsid w:val="0072532F"/>
    <w:rsid w:val="00732129"/>
    <w:rsid w:val="00732271"/>
    <w:rsid w:val="00745969"/>
    <w:rsid w:val="00751D84"/>
    <w:rsid w:val="00756C24"/>
    <w:rsid w:val="00777C97"/>
    <w:rsid w:val="00782FE9"/>
    <w:rsid w:val="007859A8"/>
    <w:rsid w:val="007A5455"/>
    <w:rsid w:val="007A78FD"/>
    <w:rsid w:val="007A7E60"/>
    <w:rsid w:val="007B4DB4"/>
    <w:rsid w:val="007B5AE8"/>
    <w:rsid w:val="007B637B"/>
    <w:rsid w:val="007B6E74"/>
    <w:rsid w:val="007B7E76"/>
    <w:rsid w:val="007C6E7D"/>
    <w:rsid w:val="007C7007"/>
    <w:rsid w:val="007D0ACC"/>
    <w:rsid w:val="007D1889"/>
    <w:rsid w:val="007D4A70"/>
    <w:rsid w:val="007E771A"/>
    <w:rsid w:val="007F07F2"/>
    <w:rsid w:val="007F44C5"/>
    <w:rsid w:val="007F620F"/>
    <w:rsid w:val="0080203D"/>
    <w:rsid w:val="008068BB"/>
    <w:rsid w:val="00810D50"/>
    <w:rsid w:val="008112B8"/>
    <w:rsid w:val="0081650E"/>
    <w:rsid w:val="0081716F"/>
    <w:rsid w:val="008219CF"/>
    <w:rsid w:val="0082453E"/>
    <w:rsid w:val="00827247"/>
    <w:rsid w:val="00836BE1"/>
    <w:rsid w:val="00841E4C"/>
    <w:rsid w:val="00855550"/>
    <w:rsid w:val="008555E1"/>
    <w:rsid w:val="00885624"/>
    <w:rsid w:val="008A5374"/>
    <w:rsid w:val="008B158B"/>
    <w:rsid w:val="008B23E9"/>
    <w:rsid w:val="008B3645"/>
    <w:rsid w:val="008C372C"/>
    <w:rsid w:val="008C4B12"/>
    <w:rsid w:val="008C4B31"/>
    <w:rsid w:val="008D0F53"/>
    <w:rsid w:val="008D36F6"/>
    <w:rsid w:val="008D4DAC"/>
    <w:rsid w:val="008D559E"/>
    <w:rsid w:val="008E0598"/>
    <w:rsid w:val="008F03A0"/>
    <w:rsid w:val="008F5C1F"/>
    <w:rsid w:val="008F62DB"/>
    <w:rsid w:val="00906757"/>
    <w:rsid w:val="009104C8"/>
    <w:rsid w:val="009132DD"/>
    <w:rsid w:val="00913698"/>
    <w:rsid w:val="0091745D"/>
    <w:rsid w:val="00917FD0"/>
    <w:rsid w:val="00925983"/>
    <w:rsid w:val="00931E72"/>
    <w:rsid w:val="00940AB0"/>
    <w:rsid w:val="00942A6F"/>
    <w:rsid w:val="00944153"/>
    <w:rsid w:val="00947A60"/>
    <w:rsid w:val="009515DE"/>
    <w:rsid w:val="00955AAC"/>
    <w:rsid w:val="009637C9"/>
    <w:rsid w:val="009660CF"/>
    <w:rsid w:val="00974AF8"/>
    <w:rsid w:val="0098411D"/>
    <w:rsid w:val="00987AD6"/>
    <w:rsid w:val="0099594A"/>
    <w:rsid w:val="009B080E"/>
    <w:rsid w:val="009B3A6B"/>
    <w:rsid w:val="009B40BF"/>
    <w:rsid w:val="009C274F"/>
    <w:rsid w:val="009C3828"/>
    <w:rsid w:val="009D0ECB"/>
    <w:rsid w:val="009D1F21"/>
    <w:rsid w:val="009D2F3B"/>
    <w:rsid w:val="009D63CD"/>
    <w:rsid w:val="009D7AF1"/>
    <w:rsid w:val="009F3EA5"/>
    <w:rsid w:val="009F3FD2"/>
    <w:rsid w:val="009F6B9D"/>
    <w:rsid w:val="009F6D20"/>
    <w:rsid w:val="00A01C5A"/>
    <w:rsid w:val="00A06550"/>
    <w:rsid w:val="00A129B6"/>
    <w:rsid w:val="00A13C16"/>
    <w:rsid w:val="00A14972"/>
    <w:rsid w:val="00A15DCD"/>
    <w:rsid w:val="00A15FD1"/>
    <w:rsid w:val="00A27D83"/>
    <w:rsid w:val="00A33DF8"/>
    <w:rsid w:val="00A44234"/>
    <w:rsid w:val="00A51391"/>
    <w:rsid w:val="00A61F5B"/>
    <w:rsid w:val="00A64A75"/>
    <w:rsid w:val="00A65628"/>
    <w:rsid w:val="00A722F7"/>
    <w:rsid w:val="00A835CD"/>
    <w:rsid w:val="00A93F42"/>
    <w:rsid w:val="00A96E3B"/>
    <w:rsid w:val="00AB4CB6"/>
    <w:rsid w:val="00AD369B"/>
    <w:rsid w:val="00AD75EF"/>
    <w:rsid w:val="00AE349E"/>
    <w:rsid w:val="00AF05FE"/>
    <w:rsid w:val="00B00715"/>
    <w:rsid w:val="00B15E14"/>
    <w:rsid w:val="00B16043"/>
    <w:rsid w:val="00B21819"/>
    <w:rsid w:val="00B26055"/>
    <w:rsid w:val="00B334AC"/>
    <w:rsid w:val="00B341F6"/>
    <w:rsid w:val="00B35BD0"/>
    <w:rsid w:val="00B3600C"/>
    <w:rsid w:val="00B4240A"/>
    <w:rsid w:val="00B47429"/>
    <w:rsid w:val="00B6388D"/>
    <w:rsid w:val="00B70267"/>
    <w:rsid w:val="00B70CE7"/>
    <w:rsid w:val="00B7454E"/>
    <w:rsid w:val="00B8335C"/>
    <w:rsid w:val="00B83DFF"/>
    <w:rsid w:val="00B94C6D"/>
    <w:rsid w:val="00B96348"/>
    <w:rsid w:val="00BA2086"/>
    <w:rsid w:val="00BA3E74"/>
    <w:rsid w:val="00BA42E1"/>
    <w:rsid w:val="00BB2189"/>
    <w:rsid w:val="00BB5E0D"/>
    <w:rsid w:val="00BB603F"/>
    <w:rsid w:val="00BB7FA7"/>
    <w:rsid w:val="00BC0344"/>
    <w:rsid w:val="00BE003B"/>
    <w:rsid w:val="00BE3494"/>
    <w:rsid w:val="00BE3F14"/>
    <w:rsid w:val="00BE638A"/>
    <w:rsid w:val="00BF44C2"/>
    <w:rsid w:val="00BF59B8"/>
    <w:rsid w:val="00C057AA"/>
    <w:rsid w:val="00C0782C"/>
    <w:rsid w:val="00C14BA6"/>
    <w:rsid w:val="00C16ED4"/>
    <w:rsid w:val="00C327A7"/>
    <w:rsid w:val="00C47A4E"/>
    <w:rsid w:val="00C53014"/>
    <w:rsid w:val="00C5501A"/>
    <w:rsid w:val="00C57BBE"/>
    <w:rsid w:val="00C630A3"/>
    <w:rsid w:val="00C64B22"/>
    <w:rsid w:val="00C74DAB"/>
    <w:rsid w:val="00C81C24"/>
    <w:rsid w:val="00C94FCD"/>
    <w:rsid w:val="00CA32B9"/>
    <w:rsid w:val="00CB1841"/>
    <w:rsid w:val="00CB4BF4"/>
    <w:rsid w:val="00CC5426"/>
    <w:rsid w:val="00CC6432"/>
    <w:rsid w:val="00CC7694"/>
    <w:rsid w:val="00CE1BBE"/>
    <w:rsid w:val="00D05619"/>
    <w:rsid w:val="00D05E2A"/>
    <w:rsid w:val="00D13291"/>
    <w:rsid w:val="00D13A97"/>
    <w:rsid w:val="00D16D5F"/>
    <w:rsid w:val="00D171C1"/>
    <w:rsid w:val="00D200CE"/>
    <w:rsid w:val="00D21692"/>
    <w:rsid w:val="00D31DBA"/>
    <w:rsid w:val="00D35815"/>
    <w:rsid w:val="00D36414"/>
    <w:rsid w:val="00D4551D"/>
    <w:rsid w:val="00D459A1"/>
    <w:rsid w:val="00D50DD1"/>
    <w:rsid w:val="00D55AA5"/>
    <w:rsid w:val="00D65488"/>
    <w:rsid w:val="00D86A57"/>
    <w:rsid w:val="00D90C96"/>
    <w:rsid w:val="00D947EC"/>
    <w:rsid w:val="00DA026D"/>
    <w:rsid w:val="00DA10B9"/>
    <w:rsid w:val="00DA1207"/>
    <w:rsid w:val="00DA53D6"/>
    <w:rsid w:val="00DB19C7"/>
    <w:rsid w:val="00DB4A5F"/>
    <w:rsid w:val="00DB61D9"/>
    <w:rsid w:val="00DB6CF1"/>
    <w:rsid w:val="00DC08B2"/>
    <w:rsid w:val="00DC638A"/>
    <w:rsid w:val="00DC79A2"/>
    <w:rsid w:val="00DF107E"/>
    <w:rsid w:val="00DF5F0D"/>
    <w:rsid w:val="00DF69BF"/>
    <w:rsid w:val="00DF78A2"/>
    <w:rsid w:val="00E017DE"/>
    <w:rsid w:val="00E03151"/>
    <w:rsid w:val="00E04079"/>
    <w:rsid w:val="00E04ACE"/>
    <w:rsid w:val="00E1002B"/>
    <w:rsid w:val="00E1352C"/>
    <w:rsid w:val="00E167F2"/>
    <w:rsid w:val="00E20FF3"/>
    <w:rsid w:val="00E2654F"/>
    <w:rsid w:val="00E40A2D"/>
    <w:rsid w:val="00E43772"/>
    <w:rsid w:val="00E462D6"/>
    <w:rsid w:val="00E5011A"/>
    <w:rsid w:val="00E56D37"/>
    <w:rsid w:val="00E620DB"/>
    <w:rsid w:val="00E83FEB"/>
    <w:rsid w:val="00E84CFD"/>
    <w:rsid w:val="00E9512D"/>
    <w:rsid w:val="00EA11BA"/>
    <w:rsid w:val="00EA495C"/>
    <w:rsid w:val="00EA4FE9"/>
    <w:rsid w:val="00EA6FB2"/>
    <w:rsid w:val="00EB2454"/>
    <w:rsid w:val="00EB384F"/>
    <w:rsid w:val="00EC4952"/>
    <w:rsid w:val="00ED1AB4"/>
    <w:rsid w:val="00ED361E"/>
    <w:rsid w:val="00EF19B3"/>
    <w:rsid w:val="00EF3FBA"/>
    <w:rsid w:val="00EF5EAA"/>
    <w:rsid w:val="00EF69FE"/>
    <w:rsid w:val="00EF6F66"/>
    <w:rsid w:val="00F0389A"/>
    <w:rsid w:val="00F06FF2"/>
    <w:rsid w:val="00F10CD6"/>
    <w:rsid w:val="00F1107C"/>
    <w:rsid w:val="00F12412"/>
    <w:rsid w:val="00F22B15"/>
    <w:rsid w:val="00F24304"/>
    <w:rsid w:val="00F30DD1"/>
    <w:rsid w:val="00F31EFE"/>
    <w:rsid w:val="00F333A8"/>
    <w:rsid w:val="00F37E2E"/>
    <w:rsid w:val="00F40336"/>
    <w:rsid w:val="00F459ED"/>
    <w:rsid w:val="00F508B2"/>
    <w:rsid w:val="00F52F5D"/>
    <w:rsid w:val="00F62889"/>
    <w:rsid w:val="00F76D21"/>
    <w:rsid w:val="00F77CC9"/>
    <w:rsid w:val="00F83B49"/>
    <w:rsid w:val="00F844BE"/>
    <w:rsid w:val="00F854CE"/>
    <w:rsid w:val="00F90B8C"/>
    <w:rsid w:val="00F93EBB"/>
    <w:rsid w:val="00F948B1"/>
    <w:rsid w:val="00FA366B"/>
    <w:rsid w:val="00FA51C3"/>
    <w:rsid w:val="00FA5A8D"/>
    <w:rsid w:val="00FB5F44"/>
    <w:rsid w:val="00FB6294"/>
    <w:rsid w:val="00FC017F"/>
    <w:rsid w:val="00FD7742"/>
    <w:rsid w:val="00FD7BFD"/>
    <w:rsid w:val="00FE039C"/>
    <w:rsid w:val="00FE154F"/>
    <w:rsid w:val="00FE2B39"/>
    <w:rsid w:val="00FF5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24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paragraph" w:styleId="Heading2">
    <w:name w:val="heading 2"/>
    <w:basedOn w:val="Normal"/>
    <w:next w:val="Normal"/>
    <w:link w:val="Heading2Char"/>
    <w:uiPriority w:val="9"/>
    <w:unhideWhenUsed/>
    <w:qFormat/>
    <w:rsid w:val="00064E89"/>
    <w:pPr>
      <w:keepNext/>
      <w:keepLines/>
      <w:spacing w:before="240" w:after="60" w:line="240" w:lineRule="auto"/>
      <w:outlineLvl w:val="1"/>
    </w:pPr>
    <w:rPr>
      <w:rFonts w:eastAsiaTheme="majorEastAsia" w:cstheme="majorBidi"/>
      <w:b/>
      <w:bCs/>
      <w:color w:val="4D79C7"/>
      <w:sz w:val="24"/>
      <w:szCs w:val="26"/>
    </w:rPr>
  </w:style>
  <w:style w:type="paragraph" w:styleId="Heading3">
    <w:name w:val="heading 3"/>
    <w:basedOn w:val="Normal"/>
    <w:next w:val="Normal"/>
    <w:link w:val="Heading3Char"/>
    <w:uiPriority w:val="9"/>
    <w:unhideWhenUsed/>
    <w:qFormat/>
    <w:rsid w:val="00064E89"/>
    <w:pPr>
      <w:keepNext/>
      <w:keepLines/>
      <w:spacing w:before="160" w:line="264" w:lineRule="auto"/>
      <w:ind w:left="720" w:right="1584"/>
      <w:outlineLvl w:val="2"/>
    </w:pPr>
    <w:rPr>
      <w:rFonts w:eastAsiaTheme="majorEastAsia" w:cstheme="majorBidi"/>
      <w:bCs/>
      <w:color w:val="244061" w:themeColor="accent1" w:themeShade="80"/>
      <w:sz w:val="28"/>
      <w:szCs w:val="28"/>
    </w:rPr>
  </w:style>
  <w:style w:type="paragraph" w:styleId="Heading6">
    <w:name w:val="heading 6"/>
    <w:basedOn w:val="Normal"/>
    <w:next w:val="Normal"/>
    <w:link w:val="Heading6Char"/>
    <w:uiPriority w:val="9"/>
    <w:semiHidden/>
    <w:unhideWhenUsed/>
    <w:qFormat/>
    <w:rsid w:val="00382EBE"/>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3459A4"/>
    <w:pPr>
      <w:spacing w:line="240" w:lineRule="auto"/>
      <w:jc w:val="right"/>
    </w:pPr>
    <w:tblPr>
      <w:tblCellMar>
        <w:top w:w="0" w:type="dxa"/>
        <w:left w:w="0" w:type="dxa"/>
        <w:bottom w:w="0" w:type="dxa"/>
        <w:right w:w="0" w:type="dxa"/>
      </w:tblCellMar>
    </w:tblPr>
  </w:style>
  <w:style w:type="paragraph" w:customStyle="1" w:styleId="BarSlider">
    <w:name w:val="BarSlider"/>
    <w:basedOn w:val="Normal"/>
    <w:qFormat/>
    <w:rsid w:val="007B637B"/>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0" w:type="dxa"/>
        <w:bottom w:w="0" w:type="dxa"/>
        <w:right w:w="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H1">
    <w:name w:val="H1"/>
    <w:next w:val="Normal"/>
    <w:rsid w:val="007B637B"/>
    <w:pPr>
      <w:spacing w:after="240" w:line="240" w:lineRule="auto"/>
    </w:pPr>
    <w:rPr>
      <w:b/>
      <w:color w:val="000000"/>
      <w:sz w:val="64"/>
      <w:szCs w:val="64"/>
    </w:rPr>
  </w:style>
  <w:style w:type="paragraph" w:customStyle="1" w:styleId="H2">
    <w:name w:val="H2"/>
    <w:next w:val="Normal"/>
    <w:rsid w:val="007B637B"/>
    <w:pPr>
      <w:spacing w:after="240" w:line="240" w:lineRule="auto"/>
    </w:pPr>
    <w:rPr>
      <w:b/>
      <w:color w:val="000000"/>
      <w:sz w:val="48"/>
      <w:szCs w:val="48"/>
    </w:rPr>
  </w:style>
  <w:style w:type="paragraph" w:customStyle="1" w:styleId="H3">
    <w:name w:val="H3"/>
    <w:next w:val="Normal"/>
    <w:rsid w:val="007B637B"/>
    <w:pPr>
      <w:spacing w:after="120" w:line="240" w:lineRule="auto"/>
    </w:pPr>
    <w:rPr>
      <w:b/>
      <w:color w:val="000000"/>
      <w:sz w:val="36"/>
      <w:szCs w:val="36"/>
    </w:rPr>
  </w:style>
  <w:style w:type="paragraph" w:customStyle="1" w:styleId="BlockSeparator">
    <w:name w:val="BlockSeparator"/>
    <w:basedOn w:val="Normal"/>
    <w:qFormat/>
    <w:rsid w:val="007B637B"/>
    <w:pPr>
      <w:pBdr>
        <w:bottom w:val="single" w:sz="32" w:space="0" w:color="CCCCCC"/>
      </w:pBdr>
      <w:spacing w:before="240" w:after="240" w:line="240" w:lineRule="auto"/>
      <w:jc w:val="center"/>
    </w:pPr>
    <w:rPr>
      <w:b/>
      <w:color w:val="CCCCCC"/>
    </w:rPr>
  </w:style>
  <w:style w:type="paragraph" w:customStyle="1" w:styleId="QuestionSeparator">
    <w:name w:val="QuestionSeparator"/>
    <w:basedOn w:val="Normal"/>
    <w:qFormat/>
    <w:rsid w:val="007B637B"/>
    <w:pPr>
      <w:pBdr>
        <w:top w:val="single" w:sz="8" w:space="0" w:color="CCCCCC"/>
      </w:pBdr>
      <w:spacing w:before="180" w:after="60" w:line="120" w:lineRule="auto"/>
    </w:pPr>
  </w:style>
  <w:style w:type="paragraph" w:customStyle="1" w:styleId="PageBreakSeparator">
    <w:name w:val="PageBreakSeparator"/>
    <w:basedOn w:val="Normal"/>
    <w:qFormat/>
    <w:rsid w:val="007B637B"/>
    <w:pPr>
      <w:pBdr>
        <w:bottom w:val="dashed" w:sz="16" w:space="0" w:color="CCCCCC"/>
      </w:pBdr>
      <w:spacing w:before="180" w:after="60" w:line="240" w:lineRule="auto"/>
      <w:jc w:val="center"/>
    </w:pPr>
    <w:rPr>
      <w:color w:val="CCCCCC"/>
    </w:rPr>
  </w:style>
  <w:style w:type="paragraph" w:customStyle="1" w:styleId="TextEntryLine">
    <w:name w:val="TextEntryLine"/>
    <w:basedOn w:val="Normal"/>
    <w:qFormat/>
    <w:rsid w:val="007B637B"/>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table" w:styleId="TableGrid">
    <w:name w:val="Table Grid"/>
    <w:basedOn w:val="TableNormal"/>
    <w:uiPriority w:val="59"/>
    <w:rsid w:val="00FE2B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64E89"/>
    <w:rPr>
      <w:rFonts w:eastAsiaTheme="majorEastAsia" w:cstheme="majorBidi"/>
      <w:b/>
      <w:bCs/>
      <w:color w:val="4D79C7"/>
      <w:sz w:val="24"/>
      <w:szCs w:val="26"/>
    </w:rPr>
  </w:style>
  <w:style w:type="character" w:customStyle="1" w:styleId="Heading3Char">
    <w:name w:val="Heading 3 Char"/>
    <w:basedOn w:val="DefaultParagraphFont"/>
    <w:link w:val="Heading3"/>
    <w:uiPriority w:val="9"/>
    <w:rsid w:val="00064E89"/>
    <w:rPr>
      <w:rFonts w:eastAsiaTheme="majorEastAsia" w:cstheme="majorBidi"/>
      <w:bCs/>
      <w:color w:val="244061" w:themeColor="accent1" w:themeShade="80"/>
      <w:sz w:val="28"/>
      <w:szCs w:val="28"/>
    </w:rPr>
  </w:style>
  <w:style w:type="paragraph" w:styleId="Title">
    <w:name w:val="Title"/>
    <w:basedOn w:val="Normal"/>
    <w:next w:val="Normal"/>
    <w:link w:val="TitleChar"/>
    <w:uiPriority w:val="10"/>
    <w:qFormat/>
    <w:rsid w:val="00064E89"/>
    <w:pPr>
      <w:spacing w:before="120" w:line="240" w:lineRule="auto"/>
      <w:ind w:left="720" w:right="360"/>
      <w:contextualSpacing/>
      <w:jc w:val="center"/>
    </w:pPr>
    <w:rPr>
      <w:rFonts w:eastAsiaTheme="majorEastAsia" w:cstheme="majorBidi"/>
      <w:color w:val="4B91D1"/>
      <w:spacing w:val="2"/>
      <w:kern w:val="28"/>
      <w:sz w:val="34"/>
      <w:szCs w:val="34"/>
    </w:rPr>
  </w:style>
  <w:style w:type="character" w:customStyle="1" w:styleId="TitleChar">
    <w:name w:val="Title Char"/>
    <w:basedOn w:val="DefaultParagraphFont"/>
    <w:link w:val="Title"/>
    <w:uiPriority w:val="10"/>
    <w:rsid w:val="00064E89"/>
    <w:rPr>
      <w:rFonts w:eastAsiaTheme="majorEastAsia" w:cstheme="majorBidi"/>
      <w:color w:val="4B91D1"/>
      <w:spacing w:val="2"/>
      <w:kern w:val="28"/>
      <w:sz w:val="34"/>
      <w:szCs w:val="34"/>
    </w:rPr>
  </w:style>
  <w:style w:type="character" w:styleId="Hyperlink">
    <w:name w:val="Hyperlink"/>
    <w:basedOn w:val="DefaultParagraphFont"/>
    <w:uiPriority w:val="99"/>
    <w:unhideWhenUsed/>
    <w:rsid w:val="00064E89"/>
    <w:rPr>
      <w:color w:val="0000FF" w:themeColor="hyperlink"/>
      <w:u w:val="single"/>
    </w:rPr>
  </w:style>
  <w:style w:type="paragraph" w:customStyle="1" w:styleId="bbb">
    <w:name w:val="bbb"/>
    <w:basedOn w:val="Normal"/>
    <w:link w:val="bbbChar"/>
    <w:qFormat/>
    <w:rsid w:val="00064E89"/>
    <w:pPr>
      <w:spacing w:after="120" w:line="240" w:lineRule="auto"/>
    </w:pPr>
    <w:rPr>
      <w:rFonts w:eastAsiaTheme="minorHAnsi"/>
    </w:rPr>
  </w:style>
  <w:style w:type="character" w:customStyle="1" w:styleId="bbbChar">
    <w:name w:val="bbb Char"/>
    <w:basedOn w:val="DefaultParagraphFont"/>
    <w:link w:val="bbb"/>
    <w:rsid w:val="00064E89"/>
    <w:rPr>
      <w:rFonts w:eastAsiaTheme="minorHAnsi"/>
    </w:rPr>
  </w:style>
  <w:style w:type="paragraph" w:customStyle="1" w:styleId="ccc">
    <w:name w:val="ccc"/>
    <w:basedOn w:val="Heading2"/>
    <w:link w:val="cccChar"/>
    <w:qFormat/>
    <w:rsid w:val="00064E89"/>
    <w:pPr>
      <w:spacing w:before="180" w:after="0"/>
    </w:pPr>
    <w:rPr>
      <w:i/>
      <w:color w:val="C00000"/>
      <w:sz w:val="28"/>
      <w:szCs w:val="28"/>
    </w:rPr>
  </w:style>
  <w:style w:type="character" w:customStyle="1" w:styleId="cccChar">
    <w:name w:val="ccc Char"/>
    <w:basedOn w:val="Heading2Char"/>
    <w:link w:val="ccc"/>
    <w:rsid w:val="00064E89"/>
    <w:rPr>
      <w:rFonts w:eastAsiaTheme="majorEastAsia" w:cstheme="majorBidi"/>
      <w:b/>
      <w:bCs/>
      <w:i/>
      <w:color w:val="C00000"/>
      <w:sz w:val="28"/>
      <w:szCs w:val="28"/>
    </w:rPr>
  </w:style>
  <w:style w:type="character" w:styleId="Emphasis">
    <w:name w:val="Emphasis"/>
    <w:uiPriority w:val="20"/>
    <w:qFormat/>
    <w:rsid w:val="00382EBE"/>
    <w:rPr>
      <w:i/>
      <w:sz w:val="22"/>
      <w:szCs w:val="22"/>
    </w:rPr>
  </w:style>
  <w:style w:type="paragraph" w:customStyle="1" w:styleId="Tablenormal0">
    <w:name w:val="Table normal"/>
    <w:basedOn w:val="Heading6"/>
    <w:qFormat/>
    <w:rsid w:val="00382EBE"/>
    <w:pPr>
      <w:keepNext w:val="0"/>
      <w:keepLines w:val="0"/>
      <w:widowControl w:val="0"/>
      <w:tabs>
        <w:tab w:val="left" w:pos="360"/>
      </w:tabs>
      <w:spacing w:before="60" w:after="60" w:line="240" w:lineRule="auto"/>
    </w:pPr>
    <w:rPr>
      <w:rFonts w:asciiTheme="minorHAnsi" w:eastAsia="MS Mincho" w:hAnsiTheme="minorHAnsi" w:cs="Arial"/>
      <w:bCs/>
      <w:color w:val="auto"/>
      <w:sz w:val="20"/>
      <w:szCs w:val="18"/>
    </w:rPr>
  </w:style>
  <w:style w:type="character" w:customStyle="1" w:styleId="Heading6Char">
    <w:name w:val="Heading 6 Char"/>
    <w:basedOn w:val="DefaultParagraphFont"/>
    <w:link w:val="Heading6"/>
    <w:uiPriority w:val="9"/>
    <w:semiHidden/>
    <w:rsid w:val="00382EBE"/>
    <w:rPr>
      <w:rFonts w:asciiTheme="majorHAnsi" w:eastAsiaTheme="majorEastAsia" w:hAnsiTheme="majorHAnsi" w:cstheme="majorBidi"/>
      <w:color w:val="243F60" w:themeColor="accent1" w:themeShade="7F"/>
    </w:rPr>
  </w:style>
  <w:style w:type="paragraph" w:styleId="Revision">
    <w:name w:val="Revision"/>
    <w:hidden/>
    <w:uiPriority w:val="99"/>
    <w:semiHidden/>
    <w:rsid w:val="00BA42E1"/>
    <w:pPr>
      <w:spacing w:line="240" w:lineRule="auto"/>
    </w:pPr>
  </w:style>
  <w:style w:type="paragraph" w:styleId="BalloonText">
    <w:name w:val="Balloon Text"/>
    <w:basedOn w:val="Normal"/>
    <w:link w:val="BalloonTextChar"/>
    <w:uiPriority w:val="99"/>
    <w:semiHidden/>
    <w:unhideWhenUsed/>
    <w:rsid w:val="00BA42E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2E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paragraph" w:styleId="Heading2">
    <w:name w:val="heading 2"/>
    <w:basedOn w:val="Normal"/>
    <w:next w:val="Normal"/>
    <w:link w:val="Heading2Char"/>
    <w:uiPriority w:val="9"/>
    <w:unhideWhenUsed/>
    <w:qFormat/>
    <w:rsid w:val="00064E89"/>
    <w:pPr>
      <w:keepNext/>
      <w:keepLines/>
      <w:spacing w:before="240" w:after="60" w:line="240" w:lineRule="auto"/>
      <w:outlineLvl w:val="1"/>
    </w:pPr>
    <w:rPr>
      <w:rFonts w:eastAsiaTheme="majorEastAsia" w:cstheme="majorBidi"/>
      <w:b/>
      <w:bCs/>
      <w:color w:val="4D79C7"/>
      <w:sz w:val="24"/>
      <w:szCs w:val="26"/>
    </w:rPr>
  </w:style>
  <w:style w:type="paragraph" w:styleId="Heading3">
    <w:name w:val="heading 3"/>
    <w:basedOn w:val="Normal"/>
    <w:next w:val="Normal"/>
    <w:link w:val="Heading3Char"/>
    <w:uiPriority w:val="9"/>
    <w:unhideWhenUsed/>
    <w:qFormat/>
    <w:rsid w:val="00064E89"/>
    <w:pPr>
      <w:keepNext/>
      <w:keepLines/>
      <w:spacing w:before="160" w:line="264" w:lineRule="auto"/>
      <w:ind w:left="720" w:right="1584"/>
      <w:outlineLvl w:val="2"/>
    </w:pPr>
    <w:rPr>
      <w:rFonts w:eastAsiaTheme="majorEastAsia" w:cstheme="majorBidi"/>
      <w:bCs/>
      <w:color w:val="244061" w:themeColor="accent1" w:themeShade="80"/>
      <w:sz w:val="28"/>
      <w:szCs w:val="28"/>
    </w:rPr>
  </w:style>
  <w:style w:type="paragraph" w:styleId="Heading6">
    <w:name w:val="heading 6"/>
    <w:basedOn w:val="Normal"/>
    <w:next w:val="Normal"/>
    <w:link w:val="Heading6Char"/>
    <w:uiPriority w:val="9"/>
    <w:semiHidden/>
    <w:unhideWhenUsed/>
    <w:qFormat/>
    <w:rsid w:val="00382EBE"/>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3459A4"/>
    <w:pPr>
      <w:spacing w:line="240" w:lineRule="auto"/>
      <w:jc w:val="right"/>
    </w:pPr>
    <w:tblPr>
      <w:tblCellMar>
        <w:top w:w="0" w:type="dxa"/>
        <w:left w:w="0" w:type="dxa"/>
        <w:bottom w:w="0" w:type="dxa"/>
        <w:right w:w="0" w:type="dxa"/>
      </w:tblCellMar>
    </w:tblPr>
  </w:style>
  <w:style w:type="paragraph" w:customStyle="1" w:styleId="BarSlider">
    <w:name w:val="BarSlider"/>
    <w:basedOn w:val="Normal"/>
    <w:qFormat/>
    <w:rsid w:val="007B637B"/>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0" w:type="dxa"/>
        <w:bottom w:w="0" w:type="dxa"/>
        <w:right w:w="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H1">
    <w:name w:val="H1"/>
    <w:next w:val="Normal"/>
    <w:rsid w:val="007B637B"/>
    <w:pPr>
      <w:spacing w:after="240" w:line="240" w:lineRule="auto"/>
    </w:pPr>
    <w:rPr>
      <w:b/>
      <w:color w:val="000000"/>
      <w:sz w:val="64"/>
      <w:szCs w:val="64"/>
    </w:rPr>
  </w:style>
  <w:style w:type="paragraph" w:customStyle="1" w:styleId="H2">
    <w:name w:val="H2"/>
    <w:next w:val="Normal"/>
    <w:rsid w:val="007B637B"/>
    <w:pPr>
      <w:spacing w:after="240" w:line="240" w:lineRule="auto"/>
    </w:pPr>
    <w:rPr>
      <w:b/>
      <w:color w:val="000000"/>
      <w:sz w:val="48"/>
      <w:szCs w:val="48"/>
    </w:rPr>
  </w:style>
  <w:style w:type="paragraph" w:customStyle="1" w:styleId="H3">
    <w:name w:val="H3"/>
    <w:next w:val="Normal"/>
    <w:rsid w:val="007B637B"/>
    <w:pPr>
      <w:spacing w:after="120" w:line="240" w:lineRule="auto"/>
    </w:pPr>
    <w:rPr>
      <w:b/>
      <w:color w:val="000000"/>
      <w:sz w:val="36"/>
      <w:szCs w:val="36"/>
    </w:rPr>
  </w:style>
  <w:style w:type="paragraph" w:customStyle="1" w:styleId="BlockSeparator">
    <w:name w:val="BlockSeparator"/>
    <w:basedOn w:val="Normal"/>
    <w:qFormat/>
    <w:rsid w:val="007B637B"/>
    <w:pPr>
      <w:pBdr>
        <w:bottom w:val="single" w:sz="32" w:space="0" w:color="CCCCCC"/>
      </w:pBdr>
      <w:spacing w:before="240" w:after="240" w:line="240" w:lineRule="auto"/>
      <w:jc w:val="center"/>
    </w:pPr>
    <w:rPr>
      <w:b/>
      <w:color w:val="CCCCCC"/>
    </w:rPr>
  </w:style>
  <w:style w:type="paragraph" w:customStyle="1" w:styleId="QuestionSeparator">
    <w:name w:val="QuestionSeparator"/>
    <w:basedOn w:val="Normal"/>
    <w:qFormat/>
    <w:rsid w:val="007B637B"/>
    <w:pPr>
      <w:pBdr>
        <w:top w:val="single" w:sz="8" w:space="0" w:color="CCCCCC"/>
      </w:pBdr>
      <w:spacing w:before="180" w:after="60" w:line="120" w:lineRule="auto"/>
    </w:pPr>
  </w:style>
  <w:style w:type="paragraph" w:customStyle="1" w:styleId="PageBreakSeparator">
    <w:name w:val="PageBreakSeparator"/>
    <w:basedOn w:val="Normal"/>
    <w:qFormat/>
    <w:rsid w:val="007B637B"/>
    <w:pPr>
      <w:pBdr>
        <w:bottom w:val="dashed" w:sz="16" w:space="0" w:color="CCCCCC"/>
      </w:pBdr>
      <w:spacing w:before="180" w:after="60" w:line="240" w:lineRule="auto"/>
      <w:jc w:val="center"/>
    </w:pPr>
    <w:rPr>
      <w:color w:val="CCCCCC"/>
    </w:rPr>
  </w:style>
  <w:style w:type="paragraph" w:customStyle="1" w:styleId="TextEntryLine">
    <w:name w:val="TextEntryLine"/>
    <w:basedOn w:val="Normal"/>
    <w:qFormat/>
    <w:rsid w:val="007B637B"/>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table" w:styleId="TableGrid">
    <w:name w:val="Table Grid"/>
    <w:basedOn w:val="TableNormal"/>
    <w:uiPriority w:val="59"/>
    <w:rsid w:val="00FE2B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64E89"/>
    <w:rPr>
      <w:rFonts w:eastAsiaTheme="majorEastAsia" w:cstheme="majorBidi"/>
      <w:b/>
      <w:bCs/>
      <w:color w:val="4D79C7"/>
      <w:sz w:val="24"/>
      <w:szCs w:val="26"/>
    </w:rPr>
  </w:style>
  <w:style w:type="character" w:customStyle="1" w:styleId="Heading3Char">
    <w:name w:val="Heading 3 Char"/>
    <w:basedOn w:val="DefaultParagraphFont"/>
    <w:link w:val="Heading3"/>
    <w:uiPriority w:val="9"/>
    <w:rsid w:val="00064E89"/>
    <w:rPr>
      <w:rFonts w:eastAsiaTheme="majorEastAsia" w:cstheme="majorBidi"/>
      <w:bCs/>
      <w:color w:val="244061" w:themeColor="accent1" w:themeShade="80"/>
      <w:sz w:val="28"/>
      <w:szCs w:val="28"/>
    </w:rPr>
  </w:style>
  <w:style w:type="paragraph" w:styleId="Title">
    <w:name w:val="Title"/>
    <w:basedOn w:val="Normal"/>
    <w:next w:val="Normal"/>
    <w:link w:val="TitleChar"/>
    <w:uiPriority w:val="10"/>
    <w:qFormat/>
    <w:rsid w:val="00064E89"/>
    <w:pPr>
      <w:spacing w:before="120" w:line="240" w:lineRule="auto"/>
      <w:ind w:left="720" w:right="360"/>
      <w:contextualSpacing/>
      <w:jc w:val="center"/>
    </w:pPr>
    <w:rPr>
      <w:rFonts w:eastAsiaTheme="majorEastAsia" w:cstheme="majorBidi"/>
      <w:color w:val="4B91D1"/>
      <w:spacing w:val="2"/>
      <w:kern w:val="28"/>
      <w:sz w:val="34"/>
      <w:szCs w:val="34"/>
    </w:rPr>
  </w:style>
  <w:style w:type="character" w:customStyle="1" w:styleId="TitleChar">
    <w:name w:val="Title Char"/>
    <w:basedOn w:val="DefaultParagraphFont"/>
    <w:link w:val="Title"/>
    <w:uiPriority w:val="10"/>
    <w:rsid w:val="00064E89"/>
    <w:rPr>
      <w:rFonts w:eastAsiaTheme="majorEastAsia" w:cstheme="majorBidi"/>
      <w:color w:val="4B91D1"/>
      <w:spacing w:val="2"/>
      <w:kern w:val="28"/>
      <w:sz w:val="34"/>
      <w:szCs w:val="34"/>
    </w:rPr>
  </w:style>
  <w:style w:type="character" w:styleId="Hyperlink">
    <w:name w:val="Hyperlink"/>
    <w:basedOn w:val="DefaultParagraphFont"/>
    <w:uiPriority w:val="99"/>
    <w:unhideWhenUsed/>
    <w:rsid w:val="00064E89"/>
    <w:rPr>
      <w:color w:val="0000FF" w:themeColor="hyperlink"/>
      <w:u w:val="single"/>
    </w:rPr>
  </w:style>
  <w:style w:type="paragraph" w:customStyle="1" w:styleId="bbb">
    <w:name w:val="bbb"/>
    <w:basedOn w:val="Normal"/>
    <w:link w:val="bbbChar"/>
    <w:qFormat/>
    <w:rsid w:val="00064E89"/>
    <w:pPr>
      <w:spacing w:after="120" w:line="240" w:lineRule="auto"/>
    </w:pPr>
    <w:rPr>
      <w:rFonts w:eastAsiaTheme="minorHAnsi"/>
    </w:rPr>
  </w:style>
  <w:style w:type="character" w:customStyle="1" w:styleId="bbbChar">
    <w:name w:val="bbb Char"/>
    <w:basedOn w:val="DefaultParagraphFont"/>
    <w:link w:val="bbb"/>
    <w:rsid w:val="00064E89"/>
    <w:rPr>
      <w:rFonts w:eastAsiaTheme="minorHAnsi"/>
    </w:rPr>
  </w:style>
  <w:style w:type="paragraph" w:customStyle="1" w:styleId="ccc">
    <w:name w:val="ccc"/>
    <w:basedOn w:val="Heading2"/>
    <w:link w:val="cccChar"/>
    <w:qFormat/>
    <w:rsid w:val="00064E89"/>
    <w:pPr>
      <w:spacing w:before="180" w:after="0"/>
    </w:pPr>
    <w:rPr>
      <w:i/>
      <w:color w:val="C00000"/>
      <w:sz w:val="28"/>
      <w:szCs w:val="28"/>
    </w:rPr>
  </w:style>
  <w:style w:type="character" w:customStyle="1" w:styleId="cccChar">
    <w:name w:val="ccc Char"/>
    <w:basedOn w:val="Heading2Char"/>
    <w:link w:val="ccc"/>
    <w:rsid w:val="00064E89"/>
    <w:rPr>
      <w:rFonts w:eastAsiaTheme="majorEastAsia" w:cstheme="majorBidi"/>
      <w:b/>
      <w:bCs/>
      <w:i/>
      <w:color w:val="C00000"/>
      <w:sz w:val="28"/>
      <w:szCs w:val="28"/>
    </w:rPr>
  </w:style>
  <w:style w:type="character" w:styleId="Emphasis">
    <w:name w:val="Emphasis"/>
    <w:uiPriority w:val="20"/>
    <w:qFormat/>
    <w:rsid w:val="00382EBE"/>
    <w:rPr>
      <w:i/>
      <w:sz w:val="22"/>
      <w:szCs w:val="22"/>
    </w:rPr>
  </w:style>
  <w:style w:type="paragraph" w:customStyle="1" w:styleId="Tablenormal0">
    <w:name w:val="Table normal"/>
    <w:basedOn w:val="Heading6"/>
    <w:qFormat/>
    <w:rsid w:val="00382EBE"/>
    <w:pPr>
      <w:keepNext w:val="0"/>
      <w:keepLines w:val="0"/>
      <w:widowControl w:val="0"/>
      <w:tabs>
        <w:tab w:val="left" w:pos="360"/>
      </w:tabs>
      <w:spacing w:before="60" w:after="60" w:line="240" w:lineRule="auto"/>
    </w:pPr>
    <w:rPr>
      <w:rFonts w:asciiTheme="minorHAnsi" w:eastAsia="MS Mincho" w:hAnsiTheme="minorHAnsi" w:cs="Arial"/>
      <w:bCs/>
      <w:color w:val="auto"/>
      <w:sz w:val="20"/>
      <w:szCs w:val="18"/>
    </w:rPr>
  </w:style>
  <w:style w:type="character" w:customStyle="1" w:styleId="Heading6Char">
    <w:name w:val="Heading 6 Char"/>
    <w:basedOn w:val="DefaultParagraphFont"/>
    <w:link w:val="Heading6"/>
    <w:uiPriority w:val="9"/>
    <w:semiHidden/>
    <w:rsid w:val="00382EBE"/>
    <w:rPr>
      <w:rFonts w:asciiTheme="majorHAnsi" w:eastAsiaTheme="majorEastAsia" w:hAnsiTheme="majorHAnsi" w:cstheme="majorBidi"/>
      <w:color w:val="243F60" w:themeColor="accent1" w:themeShade="7F"/>
    </w:rPr>
  </w:style>
  <w:style w:type="paragraph" w:styleId="Revision">
    <w:name w:val="Revision"/>
    <w:hidden/>
    <w:uiPriority w:val="99"/>
    <w:semiHidden/>
    <w:rsid w:val="00BA42E1"/>
    <w:pPr>
      <w:spacing w:line="240" w:lineRule="auto"/>
    </w:pPr>
  </w:style>
  <w:style w:type="paragraph" w:styleId="BalloonText">
    <w:name w:val="Balloon Text"/>
    <w:basedOn w:val="Normal"/>
    <w:link w:val="BalloonTextChar"/>
    <w:uiPriority w:val="99"/>
    <w:semiHidden/>
    <w:unhideWhenUsed/>
    <w:rsid w:val="00BA42E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2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dc.gov/mmwr/volumes/65/rr/rr6501e1.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dc.gov/mmwr/volumes/65/rr/rr6501e1.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k.r.stephens@comcast.ne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lisa.m.shields@dhsoha.state.or.us"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parchman.m@ghc.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00C3C-1F6E-436C-BB1B-1165DFC50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4365</Words>
  <Characters>24885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DRAFT: The Six Building Blocks of Pain Management, an organizational self-assessment</vt:lpstr>
    </vt:vector>
  </TitlesOfParts>
  <Company>Qualtrics</Company>
  <LinksUpToDate>false</LinksUpToDate>
  <CharactersWithSpaces>29192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The Six Building Blocks of Pain Management, an organizational self-assessment</dc:title>
  <dc:creator>Qualtrics</dc:creator>
  <cp:lastModifiedBy>NaRCAD</cp:lastModifiedBy>
  <cp:revision>2</cp:revision>
  <dcterms:created xsi:type="dcterms:W3CDTF">2018-03-05T15:37:00Z</dcterms:created>
  <dcterms:modified xsi:type="dcterms:W3CDTF">2018-03-05T15:37:00Z</dcterms:modified>
</cp:coreProperties>
</file>