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77" w:rsidRDefault="008F394A" w:rsidP="003D72C4">
      <w:pPr>
        <w:jc w:val="center"/>
        <w:rPr>
          <w:b/>
          <w:sz w:val="32"/>
          <w:szCs w:val="32"/>
        </w:rPr>
      </w:pPr>
      <w:r>
        <w:rPr>
          <w:b/>
          <w:sz w:val="32"/>
          <w:szCs w:val="32"/>
        </w:rPr>
        <w:t>HPV Vaccination Dosing</w:t>
      </w:r>
    </w:p>
    <w:tbl>
      <w:tblPr>
        <w:tblStyle w:val="TableGrid"/>
        <w:tblW w:w="0" w:type="auto"/>
        <w:tblLook w:val="04A0" w:firstRow="1" w:lastRow="0" w:firstColumn="1" w:lastColumn="0" w:noHBand="0" w:noVBand="1"/>
      </w:tblPr>
      <w:tblGrid>
        <w:gridCol w:w="4392"/>
        <w:gridCol w:w="4392"/>
        <w:gridCol w:w="4392"/>
      </w:tblGrid>
      <w:tr w:rsidR="008F394A" w:rsidTr="008F394A">
        <w:tc>
          <w:tcPr>
            <w:tcW w:w="4392" w:type="dxa"/>
            <w:shd w:val="clear" w:color="auto" w:fill="4F81BD" w:themeFill="accent1"/>
          </w:tcPr>
          <w:p w:rsidR="008F394A" w:rsidRPr="008F394A" w:rsidRDefault="008F394A" w:rsidP="008F394A">
            <w:pPr>
              <w:jc w:val="center"/>
              <w:rPr>
                <w:b/>
                <w:sz w:val="32"/>
                <w:szCs w:val="32"/>
              </w:rPr>
            </w:pPr>
            <w:r>
              <w:rPr>
                <w:b/>
                <w:sz w:val="32"/>
                <w:szCs w:val="32"/>
              </w:rPr>
              <w:t>Age at Initiation</w:t>
            </w:r>
          </w:p>
        </w:tc>
        <w:tc>
          <w:tcPr>
            <w:tcW w:w="4392" w:type="dxa"/>
            <w:shd w:val="clear" w:color="auto" w:fill="4F81BD" w:themeFill="accent1"/>
          </w:tcPr>
          <w:p w:rsidR="008F394A" w:rsidRDefault="008F394A" w:rsidP="008F394A">
            <w:pPr>
              <w:jc w:val="center"/>
              <w:rPr>
                <w:b/>
                <w:sz w:val="32"/>
                <w:szCs w:val="32"/>
              </w:rPr>
            </w:pPr>
            <w:r>
              <w:rPr>
                <w:b/>
                <w:sz w:val="32"/>
                <w:szCs w:val="32"/>
              </w:rPr>
              <w:t>Recommended Doses</w:t>
            </w:r>
          </w:p>
        </w:tc>
        <w:tc>
          <w:tcPr>
            <w:tcW w:w="4392" w:type="dxa"/>
            <w:shd w:val="clear" w:color="auto" w:fill="4F81BD" w:themeFill="accent1"/>
          </w:tcPr>
          <w:p w:rsidR="008F394A" w:rsidRDefault="008F394A" w:rsidP="008F394A">
            <w:pPr>
              <w:jc w:val="center"/>
              <w:rPr>
                <w:b/>
                <w:sz w:val="32"/>
                <w:szCs w:val="32"/>
              </w:rPr>
            </w:pPr>
            <w:r>
              <w:rPr>
                <w:b/>
                <w:sz w:val="32"/>
                <w:szCs w:val="32"/>
              </w:rPr>
              <w:t>Dosing Schedule</w:t>
            </w:r>
          </w:p>
        </w:tc>
      </w:tr>
      <w:tr w:rsidR="008F394A" w:rsidTr="008F394A">
        <w:tc>
          <w:tcPr>
            <w:tcW w:w="4392" w:type="dxa"/>
          </w:tcPr>
          <w:p w:rsidR="008F394A" w:rsidRPr="00677246" w:rsidRDefault="008F394A" w:rsidP="008F394A">
            <w:pPr>
              <w:jc w:val="center"/>
              <w:rPr>
                <w:sz w:val="28"/>
                <w:szCs w:val="28"/>
              </w:rPr>
            </w:pPr>
            <w:r w:rsidRPr="00677246">
              <w:rPr>
                <w:b/>
                <w:sz w:val="28"/>
                <w:szCs w:val="28"/>
              </w:rPr>
              <w:t xml:space="preserve">9 – 14 years </w:t>
            </w:r>
            <w:r w:rsidRPr="00677246">
              <w:rPr>
                <w:sz w:val="28"/>
                <w:szCs w:val="28"/>
              </w:rPr>
              <w:t xml:space="preserve">(except </w:t>
            </w:r>
            <w:proofErr w:type="spellStart"/>
            <w:r w:rsidRPr="00677246">
              <w:rPr>
                <w:sz w:val="28"/>
                <w:szCs w:val="28"/>
              </w:rPr>
              <w:t>immunocompromised</w:t>
            </w:r>
            <w:proofErr w:type="spellEnd"/>
            <w:r w:rsidRPr="00677246">
              <w:rPr>
                <w:sz w:val="28"/>
                <w:szCs w:val="28"/>
              </w:rPr>
              <w:t xml:space="preserve"> persons)</w:t>
            </w:r>
          </w:p>
        </w:tc>
        <w:tc>
          <w:tcPr>
            <w:tcW w:w="4392" w:type="dxa"/>
          </w:tcPr>
          <w:p w:rsidR="008F394A" w:rsidRPr="00677246" w:rsidRDefault="008F394A" w:rsidP="008F394A">
            <w:pPr>
              <w:jc w:val="center"/>
              <w:rPr>
                <w:b/>
                <w:sz w:val="28"/>
                <w:szCs w:val="28"/>
              </w:rPr>
            </w:pPr>
            <w:r w:rsidRPr="00677246">
              <w:rPr>
                <w:b/>
                <w:sz w:val="28"/>
                <w:szCs w:val="28"/>
              </w:rPr>
              <w:t>2</w:t>
            </w:r>
          </w:p>
        </w:tc>
        <w:tc>
          <w:tcPr>
            <w:tcW w:w="4392" w:type="dxa"/>
          </w:tcPr>
          <w:p w:rsidR="008F394A" w:rsidRPr="00677246" w:rsidRDefault="008F394A" w:rsidP="008F394A">
            <w:pPr>
              <w:jc w:val="center"/>
              <w:rPr>
                <w:sz w:val="24"/>
                <w:szCs w:val="24"/>
              </w:rPr>
            </w:pPr>
            <w:r w:rsidRPr="00677246">
              <w:rPr>
                <w:b/>
                <w:sz w:val="24"/>
                <w:szCs w:val="24"/>
              </w:rPr>
              <w:t xml:space="preserve">0, 6-12 months </w:t>
            </w:r>
            <w:r w:rsidR="00074C77" w:rsidRPr="00677246">
              <w:rPr>
                <w:sz w:val="24"/>
                <w:szCs w:val="24"/>
              </w:rPr>
              <w:t xml:space="preserve">(minimum interval </w:t>
            </w:r>
            <w:r w:rsidRPr="00677246">
              <w:rPr>
                <w:sz w:val="24"/>
                <w:szCs w:val="24"/>
              </w:rPr>
              <w:t>between first and second dose</w:t>
            </w:r>
            <w:r w:rsidR="00074C77" w:rsidRPr="00677246">
              <w:rPr>
                <w:sz w:val="24"/>
                <w:szCs w:val="24"/>
              </w:rPr>
              <w:t xml:space="preserve"> is </w:t>
            </w:r>
            <w:r w:rsidR="00074C77" w:rsidRPr="00677246">
              <w:rPr>
                <w:b/>
                <w:sz w:val="24"/>
                <w:szCs w:val="24"/>
              </w:rPr>
              <w:t>5 months</w:t>
            </w:r>
            <w:r w:rsidRPr="00677246">
              <w:rPr>
                <w:sz w:val="24"/>
                <w:szCs w:val="24"/>
              </w:rPr>
              <w:t>)</w:t>
            </w:r>
            <w:r w:rsidR="003D72C4" w:rsidRPr="00677246">
              <w:rPr>
                <w:sz w:val="24"/>
                <w:szCs w:val="24"/>
              </w:rPr>
              <w:t>*</w:t>
            </w:r>
          </w:p>
        </w:tc>
      </w:tr>
      <w:tr w:rsidR="008F394A" w:rsidTr="008F394A">
        <w:tc>
          <w:tcPr>
            <w:tcW w:w="4392" w:type="dxa"/>
          </w:tcPr>
          <w:p w:rsidR="008F394A" w:rsidRPr="00677246" w:rsidRDefault="008F394A" w:rsidP="008F394A">
            <w:pPr>
              <w:jc w:val="center"/>
              <w:rPr>
                <w:sz w:val="28"/>
                <w:szCs w:val="28"/>
              </w:rPr>
            </w:pPr>
            <w:r w:rsidRPr="00677246">
              <w:rPr>
                <w:b/>
                <w:sz w:val="28"/>
                <w:szCs w:val="28"/>
              </w:rPr>
              <w:t xml:space="preserve">15 – 26 years </w:t>
            </w:r>
            <w:r w:rsidRPr="00677246">
              <w:rPr>
                <w:sz w:val="28"/>
                <w:szCs w:val="28"/>
              </w:rPr>
              <w:t xml:space="preserve">(and </w:t>
            </w:r>
            <w:proofErr w:type="spellStart"/>
            <w:r w:rsidRPr="00677246">
              <w:rPr>
                <w:sz w:val="28"/>
                <w:szCs w:val="28"/>
              </w:rPr>
              <w:t>immunocompromised</w:t>
            </w:r>
            <w:proofErr w:type="spellEnd"/>
            <w:r w:rsidRPr="00677246">
              <w:rPr>
                <w:sz w:val="28"/>
                <w:szCs w:val="28"/>
              </w:rPr>
              <w:t xml:space="preserve"> persons initiating at 9-26 years)</w:t>
            </w:r>
          </w:p>
        </w:tc>
        <w:tc>
          <w:tcPr>
            <w:tcW w:w="4392" w:type="dxa"/>
          </w:tcPr>
          <w:p w:rsidR="008F394A" w:rsidRPr="00677246" w:rsidRDefault="008F394A" w:rsidP="008F394A">
            <w:pPr>
              <w:jc w:val="center"/>
              <w:rPr>
                <w:b/>
                <w:sz w:val="28"/>
                <w:szCs w:val="28"/>
              </w:rPr>
            </w:pPr>
            <w:r w:rsidRPr="00677246">
              <w:rPr>
                <w:b/>
                <w:sz w:val="28"/>
                <w:szCs w:val="28"/>
              </w:rPr>
              <w:t>3</w:t>
            </w:r>
          </w:p>
        </w:tc>
        <w:tc>
          <w:tcPr>
            <w:tcW w:w="4392" w:type="dxa"/>
          </w:tcPr>
          <w:p w:rsidR="008F394A" w:rsidRPr="00677246" w:rsidRDefault="008F394A" w:rsidP="008F394A">
            <w:pPr>
              <w:jc w:val="center"/>
              <w:rPr>
                <w:sz w:val="24"/>
                <w:szCs w:val="24"/>
              </w:rPr>
            </w:pPr>
            <w:r w:rsidRPr="00677246">
              <w:rPr>
                <w:b/>
                <w:sz w:val="24"/>
                <w:szCs w:val="24"/>
              </w:rPr>
              <w:t xml:space="preserve">0, 1-2, 6 months </w:t>
            </w:r>
            <w:r w:rsidRPr="00677246">
              <w:rPr>
                <w:sz w:val="24"/>
                <w:szCs w:val="24"/>
              </w:rPr>
              <w:t xml:space="preserve">(minimum intervals are: </w:t>
            </w:r>
            <w:r w:rsidRPr="00677246">
              <w:rPr>
                <w:b/>
                <w:sz w:val="24"/>
                <w:szCs w:val="24"/>
              </w:rPr>
              <w:t>4 weeks</w:t>
            </w:r>
            <w:r w:rsidRPr="00677246">
              <w:rPr>
                <w:sz w:val="24"/>
                <w:szCs w:val="24"/>
              </w:rPr>
              <w:t xml:space="preserve"> between first and second dose, </w:t>
            </w:r>
            <w:r w:rsidRPr="00677246">
              <w:rPr>
                <w:b/>
                <w:sz w:val="24"/>
                <w:szCs w:val="24"/>
              </w:rPr>
              <w:t>12 weeks</w:t>
            </w:r>
            <w:r w:rsidRPr="00677246">
              <w:rPr>
                <w:sz w:val="24"/>
                <w:szCs w:val="24"/>
              </w:rPr>
              <w:t xml:space="preserve"> between second and third dose, and </w:t>
            </w:r>
            <w:r w:rsidRPr="00677246">
              <w:rPr>
                <w:b/>
                <w:sz w:val="24"/>
                <w:szCs w:val="24"/>
              </w:rPr>
              <w:t xml:space="preserve">5 months </w:t>
            </w:r>
            <w:r w:rsidRPr="00677246">
              <w:rPr>
                <w:sz w:val="24"/>
                <w:szCs w:val="24"/>
              </w:rPr>
              <w:t>between first and third dose)</w:t>
            </w:r>
          </w:p>
        </w:tc>
      </w:tr>
      <w:tr w:rsidR="00677246" w:rsidTr="008F394A">
        <w:tc>
          <w:tcPr>
            <w:tcW w:w="4392" w:type="dxa"/>
          </w:tcPr>
          <w:p w:rsidR="00677246" w:rsidRPr="00677246" w:rsidRDefault="00677246" w:rsidP="008F394A">
            <w:pPr>
              <w:jc w:val="center"/>
              <w:rPr>
                <w:sz w:val="28"/>
                <w:szCs w:val="28"/>
              </w:rPr>
            </w:pPr>
            <w:r w:rsidRPr="00677246">
              <w:rPr>
                <w:b/>
                <w:sz w:val="28"/>
                <w:szCs w:val="28"/>
              </w:rPr>
              <w:t xml:space="preserve">27 – 45 years </w:t>
            </w:r>
            <w:r w:rsidRPr="00677246">
              <w:rPr>
                <w:sz w:val="28"/>
                <w:szCs w:val="28"/>
              </w:rPr>
              <w:t>(based on shared clinical decision-making)</w:t>
            </w:r>
          </w:p>
        </w:tc>
        <w:tc>
          <w:tcPr>
            <w:tcW w:w="4392" w:type="dxa"/>
          </w:tcPr>
          <w:p w:rsidR="00677246" w:rsidRPr="00677246" w:rsidRDefault="00677246" w:rsidP="008F394A">
            <w:pPr>
              <w:jc w:val="center"/>
              <w:rPr>
                <w:b/>
                <w:sz w:val="28"/>
                <w:szCs w:val="28"/>
              </w:rPr>
            </w:pPr>
            <w:r w:rsidRPr="00677246">
              <w:rPr>
                <w:b/>
                <w:sz w:val="28"/>
                <w:szCs w:val="28"/>
              </w:rPr>
              <w:t>3</w:t>
            </w:r>
          </w:p>
        </w:tc>
        <w:tc>
          <w:tcPr>
            <w:tcW w:w="4392" w:type="dxa"/>
          </w:tcPr>
          <w:p w:rsidR="00677246" w:rsidRPr="00677246" w:rsidRDefault="00677246" w:rsidP="008F394A">
            <w:pPr>
              <w:jc w:val="center"/>
              <w:rPr>
                <w:sz w:val="24"/>
                <w:szCs w:val="24"/>
              </w:rPr>
            </w:pPr>
            <w:r w:rsidRPr="00677246">
              <w:rPr>
                <w:b/>
                <w:sz w:val="24"/>
                <w:szCs w:val="24"/>
              </w:rPr>
              <w:t>0, 1-2, 6 months</w:t>
            </w:r>
            <w:r w:rsidRPr="00677246">
              <w:rPr>
                <w:sz w:val="24"/>
                <w:szCs w:val="24"/>
              </w:rPr>
              <w:t xml:space="preserve"> (minimum intervals are: </w:t>
            </w:r>
            <w:r w:rsidRPr="00677246">
              <w:rPr>
                <w:b/>
                <w:sz w:val="24"/>
                <w:szCs w:val="24"/>
              </w:rPr>
              <w:t>4 weeks</w:t>
            </w:r>
            <w:r w:rsidRPr="00677246">
              <w:rPr>
                <w:sz w:val="24"/>
                <w:szCs w:val="24"/>
              </w:rPr>
              <w:t xml:space="preserve"> between first and second dose, </w:t>
            </w:r>
            <w:r w:rsidRPr="00677246">
              <w:rPr>
                <w:b/>
                <w:sz w:val="24"/>
                <w:szCs w:val="24"/>
              </w:rPr>
              <w:t>12 weeks</w:t>
            </w:r>
            <w:r w:rsidRPr="00677246">
              <w:rPr>
                <w:sz w:val="24"/>
                <w:szCs w:val="24"/>
              </w:rPr>
              <w:t xml:space="preserve"> between second and third dose, and </w:t>
            </w:r>
            <w:r w:rsidRPr="00677246">
              <w:rPr>
                <w:b/>
                <w:sz w:val="24"/>
                <w:szCs w:val="24"/>
              </w:rPr>
              <w:t xml:space="preserve">5 months </w:t>
            </w:r>
            <w:r w:rsidRPr="00677246">
              <w:rPr>
                <w:sz w:val="24"/>
                <w:szCs w:val="24"/>
              </w:rPr>
              <w:t>between first and third dose)</w:t>
            </w:r>
          </w:p>
        </w:tc>
      </w:tr>
      <w:tr w:rsidR="008F394A" w:rsidRPr="00677246" w:rsidTr="00EC6493">
        <w:tc>
          <w:tcPr>
            <w:tcW w:w="13176" w:type="dxa"/>
            <w:gridSpan w:val="3"/>
          </w:tcPr>
          <w:p w:rsidR="008F394A" w:rsidRPr="00D452D3" w:rsidRDefault="008F394A" w:rsidP="008F394A">
            <w:pPr>
              <w:rPr>
                <w:sz w:val="24"/>
                <w:szCs w:val="24"/>
              </w:rPr>
            </w:pPr>
            <w:r w:rsidRPr="00D452D3">
              <w:rPr>
                <w:b/>
                <w:sz w:val="24"/>
                <w:szCs w:val="24"/>
              </w:rPr>
              <w:t xml:space="preserve">Recommended for: </w:t>
            </w:r>
          </w:p>
          <w:p w:rsidR="008F394A" w:rsidRPr="00D452D3" w:rsidRDefault="00074C77" w:rsidP="008F394A">
            <w:pPr>
              <w:pStyle w:val="ListParagraph"/>
              <w:numPr>
                <w:ilvl w:val="0"/>
                <w:numId w:val="1"/>
              </w:numPr>
              <w:rPr>
                <w:sz w:val="24"/>
                <w:szCs w:val="24"/>
              </w:rPr>
            </w:pPr>
            <w:r w:rsidRPr="00D452D3">
              <w:rPr>
                <w:sz w:val="24"/>
                <w:szCs w:val="24"/>
              </w:rPr>
              <w:t>Females and males age 11 - 12, can start at age 9</w:t>
            </w:r>
          </w:p>
          <w:p w:rsidR="00074C77" w:rsidRPr="00D452D3" w:rsidRDefault="004070C1" w:rsidP="008F394A">
            <w:pPr>
              <w:pStyle w:val="ListParagraph"/>
              <w:numPr>
                <w:ilvl w:val="0"/>
                <w:numId w:val="1"/>
              </w:numPr>
              <w:rPr>
                <w:sz w:val="24"/>
                <w:szCs w:val="24"/>
              </w:rPr>
            </w:pPr>
            <w:r w:rsidRPr="00D452D3">
              <w:rPr>
                <w:sz w:val="24"/>
                <w:szCs w:val="24"/>
              </w:rPr>
              <w:t>Catch-up vaccination is recommended for both girls and boys through age 26 years who are not adequately vaccinated.</w:t>
            </w:r>
          </w:p>
          <w:p w:rsidR="004070C1" w:rsidRPr="00D452D3" w:rsidRDefault="004070C1" w:rsidP="008F394A">
            <w:pPr>
              <w:pStyle w:val="ListParagraph"/>
              <w:numPr>
                <w:ilvl w:val="0"/>
                <w:numId w:val="1"/>
              </w:numPr>
              <w:rPr>
                <w:sz w:val="24"/>
                <w:szCs w:val="24"/>
              </w:rPr>
            </w:pPr>
            <w:r w:rsidRPr="00D452D3">
              <w:rPr>
                <w:sz w:val="24"/>
                <w:szCs w:val="24"/>
              </w:rPr>
              <w:t xml:space="preserve">Shared clinical decision-making is recommended for </w:t>
            </w:r>
            <w:r w:rsidRPr="00D452D3">
              <w:rPr>
                <w:b/>
                <w:sz w:val="24"/>
                <w:szCs w:val="24"/>
              </w:rPr>
              <w:t xml:space="preserve">some </w:t>
            </w:r>
            <w:r w:rsidRPr="00D452D3">
              <w:rPr>
                <w:sz w:val="24"/>
                <w:szCs w:val="24"/>
              </w:rPr>
              <w:t xml:space="preserve">persons aged 27 – 45 years who are not adequately vaccinated. </w:t>
            </w:r>
          </w:p>
          <w:p w:rsidR="004070C1" w:rsidRPr="00677246" w:rsidRDefault="004070C1" w:rsidP="008F394A">
            <w:pPr>
              <w:pStyle w:val="ListParagraph"/>
              <w:numPr>
                <w:ilvl w:val="0"/>
                <w:numId w:val="1"/>
              </w:numPr>
              <w:rPr>
                <w:sz w:val="20"/>
                <w:szCs w:val="20"/>
              </w:rPr>
            </w:pPr>
            <w:r w:rsidRPr="00D452D3">
              <w:rPr>
                <w:sz w:val="24"/>
                <w:szCs w:val="24"/>
              </w:rPr>
              <w:t>HPV vaccine is not licensed for use in adults &gt;45 years</w:t>
            </w:r>
            <w:r w:rsidRPr="00677246">
              <w:rPr>
                <w:sz w:val="20"/>
                <w:szCs w:val="20"/>
              </w:rPr>
              <w:t>.</w:t>
            </w:r>
          </w:p>
          <w:p w:rsidR="00B5626C" w:rsidRPr="00677246" w:rsidRDefault="00042214" w:rsidP="00FE350F">
            <w:pPr>
              <w:pStyle w:val="ListParagraph"/>
              <w:rPr>
                <w:bCs/>
                <w:sz w:val="20"/>
                <w:szCs w:val="20"/>
              </w:rPr>
            </w:pPr>
            <w:r w:rsidRPr="00677246">
              <w:rPr>
                <w:bCs/>
                <w:sz w:val="20"/>
                <w:szCs w:val="20"/>
              </w:rPr>
              <w:t>References</w:t>
            </w:r>
            <w:r w:rsidR="00B5626C" w:rsidRPr="00677246">
              <w:rPr>
                <w:bCs/>
                <w:sz w:val="20"/>
                <w:szCs w:val="20"/>
              </w:rPr>
              <w:t>:</w:t>
            </w:r>
            <w:r w:rsidR="00677246" w:rsidRPr="00677246">
              <w:rPr>
                <w:sz w:val="20"/>
                <w:szCs w:val="20"/>
              </w:rPr>
              <w:t xml:space="preserve"> </w:t>
            </w:r>
            <w:hyperlink r:id="rId8" w:history="1">
              <w:r w:rsidR="00677246" w:rsidRPr="00677246">
                <w:rPr>
                  <w:rStyle w:val="Hyperlink"/>
                  <w:bCs/>
                  <w:sz w:val="20"/>
                  <w:szCs w:val="20"/>
                </w:rPr>
                <w:t>https://www.cdc.gov/mmwr/volumes/68/wr/mm6832a3.htm</w:t>
              </w:r>
            </w:hyperlink>
            <w:r w:rsidR="00677246" w:rsidRPr="00677246">
              <w:rPr>
                <w:bCs/>
                <w:sz w:val="20"/>
                <w:szCs w:val="20"/>
              </w:rPr>
              <w:t xml:space="preserve">  / </w:t>
            </w:r>
            <w:r w:rsidR="00B5626C" w:rsidRPr="00677246">
              <w:rPr>
                <w:bCs/>
                <w:sz w:val="20"/>
                <w:szCs w:val="20"/>
              </w:rPr>
              <w:t xml:space="preserve"> </w:t>
            </w:r>
            <w:hyperlink r:id="rId9" w:history="1">
              <w:r w:rsidR="00B5626C" w:rsidRPr="00677246">
                <w:rPr>
                  <w:rStyle w:val="Hyperlink"/>
                  <w:bCs/>
                  <w:sz w:val="20"/>
                  <w:szCs w:val="20"/>
                </w:rPr>
                <w:t>https://www.cdc.gov/mmwr/volumes/65/wr/mm6549a5.htm</w:t>
              </w:r>
            </w:hyperlink>
            <w:r w:rsidR="00677246" w:rsidRPr="00677246">
              <w:rPr>
                <w:bCs/>
                <w:sz w:val="20"/>
                <w:szCs w:val="20"/>
              </w:rPr>
              <w:t xml:space="preserve">  </w:t>
            </w:r>
          </w:p>
        </w:tc>
      </w:tr>
      <w:tr w:rsidR="00074C77" w:rsidRPr="00677246" w:rsidTr="00EC6493">
        <w:tc>
          <w:tcPr>
            <w:tcW w:w="13176" w:type="dxa"/>
            <w:gridSpan w:val="3"/>
          </w:tcPr>
          <w:p w:rsidR="00074C77" w:rsidRPr="00D452D3" w:rsidRDefault="00074C77" w:rsidP="00074C77">
            <w:pPr>
              <w:rPr>
                <w:b/>
                <w:sz w:val="24"/>
                <w:szCs w:val="24"/>
              </w:rPr>
            </w:pPr>
            <w:r w:rsidRPr="00D452D3">
              <w:rPr>
                <w:b/>
                <w:sz w:val="24"/>
                <w:szCs w:val="24"/>
              </w:rPr>
              <w:t>Contraindicated:</w:t>
            </w:r>
          </w:p>
          <w:p w:rsidR="00074C77" w:rsidRPr="00D452D3" w:rsidRDefault="00074C77" w:rsidP="00074C77">
            <w:pPr>
              <w:pStyle w:val="ListParagraph"/>
              <w:numPr>
                <w:ilvl w:val="0"/>
                <w:numId w:val="2"/>
              </w:numPr>
              <w:rPr>
                <w:sz w:val="24"/>
                <w:szCs w:val="24"/>
              </w:rPr>
            </w:pPr>
            <w:r w:rsidRPr="00D452D3">
              <w:rPr>
                <w:sz w:val="24"/>
                <w:szCs w:val="24"/>
              </w:rPr>
              <w:t>Persons with immediate hypersensitivity to yeast</w:t>
            </w:r>
          </w:p>
          <w:p w:rsidR="00610356" w:rsidRPr="00D452D3" w:rsidRDefault="00610356" w:rsidP="00074C77">
            <w:pPr>
              <w:pStyle w:val="ListParagraph"/>
              <w:numPr>
                <w:ilvl w:val="0"/>
                <w:numId w:val="2"/>
              </w:numPr>
              <w:rPr>
                <w:sz w:val="24"/>
                <w:szCs w:val="24"/>
              </w:rPr>
            </w:pPr>
            <w:r w:rsidRPr="00D452D3">
              <w:rPr>
                <w:sz w:val="24"/>
                <w:szCs w:val="24"/>
              </w:rPr>
              <w:t>Pregnancy</w:t>
            </w:r>
          </w:p>
        </w:tc>
      </w:tr>
      <w:tr w:rsidR="003D72C4" w:rsidRPr="00677246" w:rsidTr="00EC6493">
        <w:tc>
          <w:tcPr>
            <w:tcW w:w="13176" w:type="dxa"/>
            <w:gridSpan w:val="3"/>
          </w:tcPr>
          <w:p w:rsidR="003D72C4" w:rsidRPr="00D452D3" w:rsidRDefault="003D72C4" w:rsidP="003D72C4">
            <w:pPr>
              <w:rPr>
                <w:sz w:val="24"/>
                <w:szCs w:val="24"/>
              </w:rPr>
            </w:pPr>
            <w:r w:rsidRPr="00D452D3">
              <w:rPr>
                <w:b/>
                <w:sz w:val="24"/>
                <w:szCs w:val="24"/>
              </w:rPr>
              <w:t>Ideally, adolescents should complete the series by their 13</w:t>
            </w:r>
            <w:r w:rsidRPr="00D452D3">
              <w:rPr>
                <w:b/>
                <w:sz w:val="24"/>
                <w:szCs w:val="24"/>
                <w:vertAlign w:val="superscript"/>
              </w:rPr>
              <w:t>th</w:t>
            </w:r>
            <w:r w:rsidRPr="00D452D3">
              <w:rPr>
                <w:b/>
                <w:sz w:val="24"/>
                <w:szCs w:val="24"/>
              </w:rPr>
              <w:t xml:space="preserve"> birthday.</w:t>
            </w:r>
          </w:p>
        </w:tc>
      </w:tr>
      <w:tr w:rsidR="00074C77" w:rsidRPr="00677246" w:rsidTr="00EC6493">
        <w:tc>
          <w:tcPr>
            <w:tcW w:w="13176" w:type="dxa"/>
            <w:gridSpan w:val="3"/>
          </w:tcPr>
          <w:p w:rsidR="00074C77" w:rsidRPr="00D452D3" w:rsidRDefault="00074C77" w:rsidP="00074C77">
            <w:pPr>
              <w:rPr>
                <w:b/>
                <w:sz w:val="24"/>
                <w:szCs w:val="24"/>
              </w:rPr>
            </w:pPr>
            <w:r w:rsidRPr="00D452D3">
              <w:rPr>
                <w:b/>
                <w:sz w:val="24"/>
                <w:szCs w:val="24"/>
              </w:rPr>
              <w:t>HPV Vaccine may be given at the same time as other vaccines.</w:t>
            </w:r>
          </w:p>
        </w:tc>
      </w:tr>
    </w:tbl>
    <w:p w:rsidR="00EC6493" w:rsidRPr="00677246" w:rsidRDefault="00074C77" w:rsidP="00042214">
      <w:pPr>
        <w:rPr>
          <w:rStyle w:val="Hyperlink"/>
          <w:sz w:val="20"/>
          <w:szCs w:val="20"/>
        </w:rPr>
      </w:pPr>
      <w:r w:rsidRPr="00677246">
        <w:rPr>
          <w:sz w:val="20"/>
          <w:szCs w:val="20"/>
        </w:rPr>
        <w:t xml:space="preserve">Reference: </w:t>
      </w:r>
      <w:hyperlink r:id="rId10" w:history="1">
        <w:r w:rsidRPr="00677246">
          <w:rPr>
            <w:rStyle w:val="Hyperlink"/>
            <w:sz w:val="20"/>
            <w:szCs w:val="20"/>
          </w:rPr>
          <w:t>https://www.cdc.gov/vaccines/vpd/hpv/hcp/administration.html</w:t>
        </w:r>
      </w:hyperlink>
    </w:p>
    <w:p w:rsidR="00677246" w:rsidRPr="00042214" w:rsidRDefault="00677246" w:rsidP="00042214">
      <w:pPr>
        <w:rPr>
          <w:sz w:val="20"/>
          <w:szCs w:val="20"/>
        </w:rPr>
      </w:pPr>
    </w:p>
    <w:tbl>
      <w:tblPr>
        <w:tblStyle w:val="TableGrid"/>
        <w:tblW w:w="0" w:type="auto"/>
        <w:tblLook w:val="04A0" w:firstRow="1" w:lastRow="0" w:firstColumn="1" w:lastColumn="0" w:noHBand="0" w:noVBand="1"/>
      </w:tblPr>
      <w:tblGrid>
        <w:gridCol w:w="6588"/>
        <w:gridCol w:w="6588"/>
      </w:tblGrid>
      <w:tr w:rsidR="00042214" w:rsidRPr="00B5626C" w:rsidTr="00042214">
        <w:tc>
          <w:tcPr>
            <w:tcW w:w="13176" w:type="dxa"/>
            <w:gridSpan w:val="2"/>
            <w:shd w:val="clear" w:color="auto" w:fill="4F81BD" w:themeFill="accent1"/>
          </w:tcPr>
          <w:p w:rsidR="00042214" w:rsidRPr="00B5626C" w:rsidRDefault="00042214" w:rsidP="00EC6493">
            <w:pPr>
              <w:jc w:val="center"/>
              <w:rPr>
                <w:b/>
                <w:sz w:val="28"/>
                <w:szCs w:val="28"/>
              </w:rPr>
            </w:pPr>
            <w:r>
              <w:rPr>
                <w:b/>
                <w:sz w:val="28"/>
                <w:szCs w:val="28"/>
              </w:rPr>
              <w:lastRenderedPageBreak/>
              <w:t>HPV Vaccine FAQ</w:t>
            </w:r>
          </w:p>
        </w:tc>
      </w:tr>
      <w:tr w:rsidR="00EC6493" w:rsidRPr="00B5626C" w:rsidTr="00EC6493">
        <w:tc>
          <w:tcPr>
            <w:tcW w:w="6588" w:type="dxa"/>
          </w:tcPr>
          <w:p w:rsidR="00EC6493" w:rsidRPr="00677246" w:rsidRDefault="00EC6493" w:rsidP="00074C77">
            <w:pPr>
              <w:rPr>
                <w:sz w:val="24"/>
                <w:szCs w:val="24"/>
              </w:rPr>
            </w:pPr>
            <w:r w:rsidRPr="00677246">
              <w:rPr>
                <w:b/>
                <w:sz w:val="24"/>
                <w:szCs w:val="24"/>
              </w:rPr>
              <w:t xml:space="preserve">Q: </w:t>
            </w:r>
            <w:r w:rsidRPr="00677246">
              <w:rPr>
                <w:sz w:val="24"/>
                <w:szCs w:val="24"/>
              </w:rPr>
              <w:t>If an adolescent, age 9 – 14 years, received two doses of HPV vaccine less than 5 months apart, is the series complete?</w:t>
            </w:r>
          </w:p>
        </w:tc>
        <w:tc>
          <w:tcPr>
            <w:tcW w:w="6588" w:type="dxa"/>
          </w:tcPr>
          <w:p w:rsidR="00EC6493" w:rsidRPr="00677246" w:rsidRDefault="00EC6493" w:rsidP="00074C77">
            <w:pPr>
              <w:rPr>
                <w:sz w:val="24"/>
                <w:szCs w:val="24"/>
              </w:rPr>
            </w:pPr>
            <w:r w:rsidRPr="00677246">
              <w:rPr>
                <w:b/>
                <w:sz w:val="24"/>
                <w:szCs w:val="24"/>
              </w:rPr>
              <w:t xml:space="preserve">A: </w:t>
            </w:r>
            <w:r w:rsidR="00B5626C" w:rsidRPr="00677246">
              <w:rPr>
                <w:sz w:val="24"/>
                <w:szCs w:val="24"/>
              </w:rPr>
              <w:t>No. The adolescent</w:t>
            </w:r>
            <w:r w:rsidRPr="00677246">
              <w:rPr>
                <w:sz w:val="24"/>
                <w:szCs w:val="24"/>
              </w:rPr>
              <w:t xml:space="preserve"> will require a third dose. The third dose should be given 6 – 12 months after the first dose to complete the series.</w:t>
            </w:r>
          </w:p>
        </w:tc>
      </w:tr>
      <w:tr w:rsidR="00EC6493" w:rsidRPr="00B5626C" w:rsidTr="00EC6493">
        <w:tc>
          <w:tcPr>
            <w:tcW w:w="6588" w:type="dxa"/>
          </w:tcPr>
          <w:p w:rsidR="00EC6493" w:rsidRPr="00677246" w:rsidRDefault="00B5626C" w:rsidP="00074C77">
            <w:pPr>
              <w:rPr>
                <w:sz w:val="24"/>
                <w:szCs w:val="24"/>
              </w:rPr>
            </w:pPr>
            <w:r w:rsidRPr="00677246">
              <w:rPr>
                <w:b/>
                <w:sz w:val="24"/>
                <w:szCs w:val="24"/>
              </w:rPr>
              <w:t xml:space="preserve">Q: </w:t>
            </w:r>
            <w:r w:rsidRPr="00677246">
              <w:rPr>
                <w:sz w:val="24"/>
                <w:szCs w:val="24"/>
              </w:rPr>
              <w:t>If a person initiates the series before age 26, but does not complete it, can the series be completed after age 26?</w:t>
            </w:r>
          </w:p>
        </w:tc>
        <w:tc>
          <w:tcPr>
            <w:tcW w:w="6588" w:type="dxa"/>
          </w:tcPr>
          <w:p w:rsidR="00B5626C" w:rsidRPr="00677246" w:rsidRDefault="00B5626C" w:rsidP="00074C77">
            <w:pPr>
              <w:rPr>
                <w:sz w:val="24"/>
                <w:szCs w:val="24"/>
              </w:rPr>
            </w:pPr>
            <w:r w:rsidRPr="00677246">
              <w:rPr>
                <w:b/>
                <w:sz w:val="24"/>
                <w:szCs w:val="24"/>
              </w:rPr>
              <w:t xml:space="preserve">A: </w:t>
            </w:r>
            <w:r w:rsidRPr="00677246">
              <w:rPr>
                <w:sz w:val="24"/>
                <w:szCs w:val="24"/>
              </w:rPr>
              <w:t>Yes. The series can be completed at age 27 or older.</w:t>
            </w:r>
          </w:p>
          <w:p w:rsidR="00B5626C" w:rsidRPr="00677246" w:rsidRDefault="00B5626C" w:rsidP="00074C77">
            <w:pPr>
              <w:rPr>
                <w:sz w:val="20"/>
                <w:szCs w:val="20"/>
              </w:rPr>
            </w:pPr>
            <w:r w:rsidRPr="00677246">
              <w:rPr>
                <w:sz w:val="20"/>
                <w:szCs w:val="20"/>
              </w:rPr>
              <w:t xml:space="preserve">Reference: </w:t>
            </w:r>
            <w:hyperlink r:id="rId11" w:history="1">
              <w:r w:rsidRPr="00677246">
                <w:rPr>
                  <w:rStyle w:val="Hyperlink"/>
                  <w:sz w:val="20"/>
                  <w:szCs w:val="20"/>
                </w:rPr>
                <w:t>https://www.cdc.gov/mmwr/pdf/rr/rr6305.pdf</w:t>
              </w:r>
            </w:hyperlink>
          </w:p>
        </w:tc>
      </w:tr>
      <w:tr w:rsidR="00EC6493" w:rsidRPr="00B5626C" w:rsidTr="00EC6493">
        <w:tc>
          <w:tcPr>
            <w:tcW w:w="6588" w:type="dxa"/>
          </w:tcPr>
          <w:p w:rsidR="00EC6493" w:rsidRPr="00677246" w:rsidRDefault="00B5626C" w:rsidP="00074C77">
            <w:pPr>
              <w:rPr>
                <w:sz w:val="24"/>
                <w:szCs w:val="24"/>
              </w:rPr>
            </w:pPr>
            <w:r w:rsidRPr="00677246">
              <w:rPr>
                <w:b/>
                <w:sz w:val="24"/>
                <w:szCs w:val="24"/>
              </w:rPr>
              <w:t xml:space="preserve">Q: </w:t>
            </w:r>
            <w:r w:rsidRPr="00677246">
              <w:rPr>
                <w:sz w:val="24"/>
                <w:szCs w:val="24"/>
              </w:rPr>
              <w:t>If the HPV vaccination series is interrupted, does it have to be restarted?</w:t>
            </w:r>
          </w:p>
        </w:tc>
        <w:tc>
          <w:tcPr>
            <w:tcW w:w="6588" w:type="dxa"/>
          </w:tcPr>
          <w:p w:rsidR="00EC6493" w:rsidRPr="00677246" w:rsidRDefault="00B5626C" w:rsidP="00EC1247">
            <w:pPr>
              <w:rPr>
                <w:sz w:val="24"/>
                <w:szCs w:val="24"/>
              </w:rPr>
            </w:pPr>
            <w:r w:rsidRPr="00677246">
              <w:rPr>
                <w:b/>
                <w:sz w:val="24"/>
                <w:szCs w:val="24"/>
              </w:rPr>
              <w:t xml:space="preserve">A: </w:t>
            </w:r>
            <w:r w:rsidRPr="00677246">
              <w:rPr>
                <w:sz w:val="24"/>
                <w:szCs w:val="24"/>
              </w:rPr>
              <w:t xml:space="preserve">No. </w:t>
            </w:r>
            <w:r w:rsidR="001F44C0" w:rsidRPr="00677246">
              <w:rPr>
                <w:sz w:val="24"/>
                <w:szCs w:val="24"/>
              </w:rPr>
              <w:t xml:space="preserve">Continue the series from where it was interrupted. </w:t>
            </w:r>
            <w:r w:rsidR="00EC1247" w:rsidRPr="00EC1247">
              <w:rPr>
                <w:sz w:val="24"/>
                <w:szCs w:val="24"/>
              </w:rPr>
              <w:t>The number of recommended doses is based on age at administration of the first dose.</w:t>
            </w:r>
          </w:p>
        </w:tc>
      </w:tr>
      <w:tr w:rsidR="00EC6493" w:rsidRPr="00B5626C" w:rsidTr="00EC6493">
        <w:tc>
          <w:tcPr>
            <w:tcW w:w="6588" w:type="dxa"/>
          </w:tcPr>
          <w:p w:rsidR="00EC6493" w:rsidRPr="00677246" w:rsidRDefault="003A4AFD" w:rsidP="00610356">
            <w:pPr>
              <w:rPr>
                <w:sz w:val="24"/>
                <w:szCs w:val="24"/>
              </w:rPr>
            </w:pPr>
            <w:r w:rsidRPr="00677246">
              <w:rPr>
                <w:b/>
                <w:sz w:val="24"/>
                <w:szCs w:val="24"/>
              </w:rPr>
              <w:t xml:space="preserve">Q: </w:t>
            </w:r>
            <w:r w:rsidRPr="00677246">
              <w:rPr>
                <w:sz w:val="24"/>
                <w:szCs w:val="24"/>
              </w:rPr>
              <w:t xml:space="preserve">If </w:t>
            </w:r>
            <w:r w:rsidR="00610356" w:rsidRPr="00677246">
              <w:rPr>
                <w:sz w:val="24"/>
                <w:szCs w:val="24"/>
              </w:rPr>
              <w:t>an adolescent was given the first dose of HPV vaccine before age 15, but it has been over a</w:t>
            </w:r>
            <w:r w:rsidR="0059037A" w:rsidRPr="00677246">
              <w:rPr>
                <w:sz w:val="24"/>
                <w:szCs w:val="24"/>
              </w:rPr>
              <w:t xml:space="preserve"> year since that dose was administered, is the series complete with one additional dose?</w:t>
            </w:r>
          </w:p>
        </w:tc>
        <w:tc>
          <w:tcPr>
            <w:tcW w:w="6588" w:type="dxa"/>
          </w:tcPr>
          <w:p w:rsidR="003A4AFD" w:rsidRPr="00677246" w:rsidRDefault="00610356" w:rsidP="00074C77">
            <w:pPr>
              <w:rPr>
                <w:sz w:val="24"/>
                <w:szCs w:val="24"/>
              </w:rPr>
            </w:pPr>
            <w:r w:rsidRPr="00677246">
              <w:rPr>
                <w:b/>
                <w:sz w:val="24"/>
                <w:szCs w:val="24"/>
              </w:rPr>
              <w:t>A:</w:t>
            </w:r>
            <w:r w:rsidR="0059037A" w:rsidRPr="00677246">
              <w:rPr>
                <w:b/>
                <w:sz w:val="24"/>
                <w:szCs w:val="24"/>
              </w:rPr>
              <w:t xml:space="preserve"> </w:t>
            </w:r>
            <w:r w:rsidR="0059037A" w:rsidRPr="00677246">
              <w:rPr>
                <w:sz w:val="24"/>
                <w:szCs w:val="24"/>
              </w:rPr>
              <w:t xml:space="preserve">Yes. If the person is not </w:t>
            </w:r>
            <w:proofErr w:type="spellStart"/>
            <w:r w:rsidR="0059037A" w:rsidRPr="00677246">
              <w:rPr>
                <w:sz w:val="24"/>
                <w:szCs w:val="24"/>
              </w:rPr>
              <w:t>immunocompromised</w:t>
            </w:r>
            <w:proofErr w:type="spellEnd"/>
            <w:r w:rsidR="0059037A" w:rsidRPr="00677246">
              <w:rPr>
                <w:sz w:val="24"/>
                <w:szCs w:val="24"/>
              </w:rPr>
              <w:t xml:space="preserve"> and started the series prior to age 15, they are considered adequately vaccinated with just one additional dose.</w:t>
            </w:r>
          </w:p>
        </w:tc>
      </w:tr>
      <w:tr w:rsidR="00EC6493" w:rsidRPr="00B5626C" w:rsidTr="00EC6493">
        <w:tc>
          <w:tcPr>
            <w:tcW w:w="6588" w:type="dxa"/>
          </w:tcPr>
          <w:p w:rsidR="00EC6493" w:rsidRPr="00677246" w:rsidRDefault="003A4AFD" w:rsidP="00074C77">
            <w:pPr>
              <w:rPr>
                <w:sz w:val="24"/>
                <w:szCs w:val="24"/>
              </w:rPr>
            </w:pPr>
            <w:r w:rsidRPr="00677246">
              <w:rPr>
                <w:b/>
                <w:sz w:val="24"/>
                <w:szCs w:val="24"/>
              </w:rPr>
              <w:t xml:space="preserve">Q: </w:t>
            </w:r>
            <w:r w:rsidRPr="00677246">
              <w:rPr>
                <w:sz w:val="24"/>
                <w:szCs w:val="24"/>
              </w:rPr>
              <w:t>Is a pre-vaccination assessment (PAP test or screening) recommended to determine the appropriateness of HPV vaccination?</w:t>
            </w:r>
          </w:p>
        </w:tc>
        <w:tc>
          <w:tcPr>
            <w:tcW w:w="6588" w:type="dxa"/>
          </w:tcPr>
          <w:p w:rsidR="00EC6493" w:rsidRPr="00677246" w:rsidRDefault="003A4AFD" w:rsidP="00074C77">
            <w:pPr>
              <w:rPr>
                <w:sz w:val="24"/>
                <w:szCs w:val="24"/>
              </w:rPr>
            </w:pPr>
            <w:r w:rsidRPr="00677246">
              <w:rPr>
                <w:b/>
                <w:sz w:val="24"/>
                <w:szCs w:val="24"/>
              </w:rPr>
              <w:t xml:space="preserve">A: </w:t>
            </w:r>
            <w:r w:rsidRPr="00677246">
              <w:rPr>
                <w:sz w:val="24"/>
                <w:szCs w:val="24"/>
              </w:rPr>
              <w:t xml:space="preserve">No. </w:t>
            </w:r>
            <w:r w:rsidR="00042214" w:rsidRPr="00677246">
              <w:rPr>
                <w:sz w:val="24"/>
                <w:szCs w:val="24"/>
              </w:rPr>
              <w:t>If a person has been exposed to a strain of HPV, the vaccine will not be effective against that strain. However, the person can still benefit from protection against other types of HPV if they are already infected with one or more types.</w:t>
            </w:r>
          </w:p>
        </w:tc>
      </w:tr>
      <w:tr w:rsidR="00042214" w:rsidRPr="00B5626C" w:rsidTr="00EC6493">
        <w:tc>
          <w:tcPr>
            <w:tcW w:w="6588" w:type="dxa"/>
          </w:tcPr>
          <w:p w:rsidR="00042214" w:rsidRPr="00677246" w:rsidRDefault="00042214" w:rsidP="00074C77">
            <w:pPr>
              <w:rPr>
                <w:sz w:val="24"/>
                <w:szCs w:val="24"/>
              </w:rPr>
            </w:pPr>
            <w:r w:rsidRPr="00677246">
              <w:rPr>
                <w:b/>
                <w:sz w:val="24"/>
                <w:szCs w:val="24"/>
              </w:rPr>
              <w:t xml:space="preserve">Q: </w:t>
            </w:r>
            <w:r w:rsidRPr="00677246">
              <w:rPr>
                <w:sz w:val="24"/>
                <w:szCs w:val="24"/>
              </w:rPr>
              <w:t>What are the HPV vaccination recommendations for pregnant women?</w:t>
            </w:r>
          </w:p>
        </w:tc>
        <w:tc>
          <w:tcPr>
            <w:tcW w:w="6588" w:type="dxa"/>
          </w:tcPr>
          <w:p w:rsidR="00042214" w:rsidRPr="00677246" w:rsidRDefault="00042214" w:rsidP="00074C77">
            <w:pPr>
              <w:rPr>
                <w:sz w:val="24"/>
                <w:szCs w:val="24"/>
              </w:rPr>
            </w:pPr>
            <w:r w:rsidRPr="00677246">
              <w:rPr>
                <w:b/>
                <w:sz w:val="24"/>
                <w:szCs w:val="24"/>
              </w:rPr>
              <w:t>A:</w:t>
            </w:r>
            <w:r w:rsidRPr="00677246">
              <w:rPr>
                <w:sz w:val="24"/>
                <w:szCs w:val="24"/>
              </w:rPr>
              <w:t xml:space="preserve"> HPV vaccination is not recommended during pregnancy. If a woman becomes pregnant during the series, the remainder of the series should be delayed until she is no longer pregnant.</w:t>
            </w:r>
          </w:p>
        </w:tc>
      </w:tr>
      <w:tr w:rsidR="006C4202" w:rsidRPr="00B5626C" w:rsidTr="00EC6493">
        <w:tc>
          <w:tcPr>
            <w:tcW w:w="6588" w:type="dxa"/>
          </w:tcPr>
          <w:p w:rsidR="006C4202" w:rsidRPr="00677246" w:rsidRDefault="006C4202" w:rsidP="00074C77">
            <w:pPr>
              <w:rPr>
                <w:sz w:val="24"/>
                <w:szCs w:val="24"/>
              </w:rPr>
            </w:pPr>
            <w:r w:rsidRPr="00677246">
              <w:rPr>
                <w:b/>
                <w:sz w:val="24"/>
                <w:szCs w:val="24"/>
              </w:rPr>
              <w:t xml:space="preserve">Q: </w:t>
            </w:r>
            <w:r w:rsidRPr="00677246">
              <w:rPr>
                <w:sz w:val="24"/>
                <w:szCs w:val="24"/>
              </w:rPr>
              <w:t>Isn’t HPV vaccine recommended to age 45?</w:t>
            </w:r>
          </w:p>
        </w:tc>
        <w:tc>
          <w:tcPr>
            <w:tcW w:w="6588" w:type="dxa"/>
          </w:tcPr>
          <w:p w:rsidR="006C4202" w:rsidRPr="00677246" w:rsidRDefault="00677246" w:rsidP="00677246">
            <w:pPr>
              <w:rPr>
                <w:sz w:val="24"/>
                <w:szCs w:val="24"/>
              </w:rPr>
            </w:pPr>
            <w:r w:rsidRPr="00677246">
              <w:rPr>
                <w:b/>
                <w:sz w:val="24"/>
                <w:szCs w:val="24"/>
              </w:rPr>
              <w:t xml:space="preserve">A: </w:t>
            </w:r>
            <w:r w:rsidR="006C4202" w:rsidRPr="00677246">
              <w:rPr>
                <w:sz w:val="24"/>
                <w:szCs w:val="24"/>
              </w:rPr>
              <w:t xml:space="preserve">In October 2018, the FDA did approve the expanded use of HPV vaccine to include women and men 27 – 45 years. </w:t>
            </w:r>
            <w:r w:rsidR="004070C1" w:rsidRPr="00677246">
              <w:rPr>
                <w:sz w:val="24"/>
                <w:szCs w:val="24"/>
              </w:rPr>
              <w:t>The current CDC</w:t>
            </w:r>
            <w:r>
              <w:rPr>
                <w:sz w:val="24"/>
                <w:szCs w:val="24"/>
              </w:rPr>
              <w:t xml:space="preserve"> recommendation August 2019 states s</w:t>
            </w:r>
            <w:r w:rsidR="004070C1" w:rsidRPr="00677246">
              <w:rPr>
                <w:sz w:val="24"/>
                <w:szCs w:val="24"/>
              </w:rPr>
              <w:t xml:space="preserve">hared clinical decision-making is recommended for </w:t>
            </w:r>
            <w:r w:rsidR="004070C1" w:rsidRPr="00677246">
              <w:rPr>
                <w:b/>
                <w:sz w:val="24"/>
                <w:szCs w:val="24"/>
              </w:rPr>
              <w:t xml:space="preserve">some </w:t>
            </w:r>
            <w:r w:rsidR="004070C1" w:rsidRPr="00677246">
              <w:rPr>
                <w:sz w:val="24"/>
                <w:szCs w:val="24"/>
              </w:rPr>
              <w:t>persons aged 27 – 45 years who are not adequately vaccinated. Clinicians can consider discussing HPV vaccination with persons most likely to benefit. Vaccination does not need to be discussed with most adults &gt;26 years. HPV vaccine is not licensed for use in adults &gt;45 years.</w:t>
            </w:r>
          </w:p>
        </w:tc>
      </w:tr>
    </w:tbl>
    <w:p w:rsidR="00285E50" w:rsidRDefault="00610356" w:rsidP="00285E50">
      <w:pPr>
        <w:tabs>
          <w:tab w:val="left" w:pos="11785"/>
        </w:tabs>
        <w:rPr>
          <w:sz w:val="20"/>
          <w:szCs w:val="20"/>
        </w:rPr>
      </w:pPr>
      <w:r>
        <w:rPr>
          <w:sz w:val="20"/>
          <w:szCs w:val="20"/>
        </w:rPr>
        <w:t xml:space="preserve">Additional FAQ: </w:t>
      </w:r>
      <w:hyperlink r:id="rId12" w:history="1">
        <w:r w:rsidR="00285E50" w:rsidRPr="0035706A">
          <w:rPr>
            <w:rStyle w:val="Hyperlink"/>
            <w:sz w:val="20"/>
            <w:szCs w:val="20"/>
          </w:rPr>
          <w:t>http://www.immunize.org/askexperts/experts_hpv.asp</w:t>
        </w:r>
      </w:hyperlink>
    </w:p>
    <w:p w:rsidR="00677246" w:rsidRDefault="00677246" w:rsidP="00677246">
      <w:pPr>
        <w:tabs>
          <w:tab w:val="left" w:pos="11023"/>
        </w:tabs>
        <w:rPr>
          <w:rStyle w:val="Hyperlink"/>
          <w:color w:val="auto"/>
          <w:sz w:val="20"/>
          <w:szCs w:val="20"/>
          <w:u w:val="none"/>
        </w:rPr>
      </w:pPr>
      <w:r w:rsidRPr="00677246">
        <w:rPr>
          <w:rStyle w:val="Hyperlink"/>
          <w:color w:val="auto"/>
          <w:sz w:val="20"/>
          <w:szCs w:val="20"/>
          <w:u w:val="none"/>
        </w:rPr>
        <w:t>Considerations for shared clinical decision-making:</w:t>
      </w:r>
      <w:r>
        <w:rPr>
          <w:rStyle w:val="Hyperlink"/>
          <w:color w:val="auto"/>
          <w:sz w:val="20"/>
          <w:szCs w:val="20"/>
          <w:u w:val="none"/>
        </w:rPr>
        <w:t xml:space="preserve"> </w:t>
      </w:r>
      <w:hyperlink r:id="rId13" w:history="1">
        <w:r w:rsidRPr="00F4615E">
          <w:rPr>
            <w:rStyle w:val="Hyperlink"/>
            <w:sz w:val="20"/>
            <w:szCs w:val="20"/>
          </w:rPr>
          <w:t>https://www.cdc.gov/mmwr/volumes/68/wr/mm6832a3.htm</w:t>
        </w:r>
      </w:hyperlink>
      <w:bookmarkStart w:id="0" w:name="_GoBack"/>
      <w:bookmarkEnd w:id="0"/>
    </w:p>
    <w:sectPr w:rsidR="00677246" w:rsidSect="008F394A">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46" w:rsidRDefault="00677246" w:rsidP="006C4202">
      <w:pPr>
        <w:spacing w:after="0" w:line="240" w:lineRule="auto"/>
      </w:pPr>
      <w:r>
        <w:separator/>
      </w:r>
    </w:p>
  </w:endnote>
  <w:endnote w:type="continuationSeparator" w:id="0">
    <w:p w:rsidR="00677246" w:rsidRDefault="00677246" w:rsidP="006C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46" w:rsidRDefault="00677246" w:rsidP="006C4202">
      <w:pPr>
        <w:spacing w:after="0" w:line="240" w:lineRule="auto"/>
      </w:pPr>
      <w:r>
        <w:separator/>
      </w:r>
    </w:p>
  </w:footnote>
  <w:footnote w:type="continuationSeparator" w:id="0">
    <w:p w:rsidR="00677246" w:rsidRDefault="00677246" w:rsidP="006C4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46" w:rsidRPr="006C4202" w:rsidRDefault="00677246" w:rsidP="006C4202">
    <w:pPr>
      <w:pStyle w:val="Header"/>
      <w:jc w:val="center"/>
      <w:rPr>
        <w:b/>
        <w:sz w:val="28"/>
        <w:szCs w:val="28"/>
      </w:rPr>
    </w:pPr>
    <w:r>
      <w:rPr>
        <w:b/>
        <w:sz w:val="28"/>
        <w:szCs w:val="28"/>
      </w:rPr>
      <w:t>Prevent Cancer with HPV Vaccine</w:t>
    </w:r>
  </w:p>
  <w:p w:rsidR="00677246" w:rsidRDefault="00677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809"/>
    <w:multiLevelType w:val="hybridMultilevel"/>
    <w:tmpl w:val="C03E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E2758"/>
    <w:multiLevelType w:val="multilevel"/>
    <w:tmpl w:val="4D1E11C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righ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57A7720"/>
    <w:multiLevelType w:val="hybridMultilevel"/>
    <w:tmpl w:val="A6BE71B8"/>
    <w:lvl w:ilvl="0" w:tplc="FC8AE292">
      <w:start w:val="1"/>
      <w:numFmt w:val="bullet"/>
      <w:lvlText w:val="•"/>
      <w:lvlJc w:val="left"/>
      <w:pPr>
        <w:tabs>
          <w:tab w:val="num" w:pos="720"/>
        </w:tabs>
        <w:ind w:left="720" w:hanging="360"/>
      </w:pPr>
      <w:rPr>
        <w:rFonts w:ascii="Times New Roman" w:hAnsi="Times New Roman" w:hint="default"/>
      </w:rPr>
    </w:lvl>
    <w:lvl w:ilvl="1" w:tplc="B74EA6C0" w:tentative="1">
      <w:start w:val="1"/>
      <w:numFmt w:val="bullet"/>
      <w:lvlText w:val="•"/>
      <w:lvlJc w:val="left"/>
      <w:pPr>
        <w:tabs>
          <w:tab w:val="num" w:pos="1440"/>
        </w:tabs>
        <w:ind w:left="1440" w:hanging="360"/>
      </w:pPr>
      <w:rPr>
        <w:rFonts w:ascii="Times New Roman" w:hAnsi="Times New Roman" w:hint="default"/>
      </w:rPr>
    </w:lvl>
    <w:lvl w:ilvl="2" w:tplc="AC864280" w:tentative="1">
      <w:start w:val="1"/>
      <w:numFmt w:val="bullet"/>
      <w:lvlText w:val="•"/>
      <w:lvlJc w:val="left"/>
      <w:pPr>
        <w:tabs>
          <w:tab w:val="num" w:pos="2160"/>
        </w:tabs>
        <w:ind w:left="2160" w:hanging="360"/>
      </w:pPr>
      <w:rPr>
        <w:rFonts w:ascii="Times New Roman" w:hAnsi="Times New Roman" w:hint="default"/>
      </w:rPr>
    </w:lvl>
    <w:lvl w:ilvl="3" w:tplc="7C0C61F8" w:tentative="1">
      <w:start w:val="1"/>
      <w:numFmt w:val="bullet"/>
      <w:lvlText w:val="•"/>
      <w:lvlJc w:val="left"/>
      <w:pPr>
        <w:tabs>
          <w:tab w:val="num" w:pos="2880"/>
        </w:tabs>
        <w:ind w:left="2880" w:hanging="360"/>
      </w:pPr>
      <w:rPr>
        <w:rFonts w:ascii="Times New Roman" w:hAnsi="Times New Roman" w:hint="default"/>
      </w:rPr>
    </w:lvl>
    <w:lvl w:ilvl="4" w:tplc="F044FCD8" w:tentative="1">
      <w:start w:val="1"/>
      <w:numFmt w:val="bullet"/>
      <w:lvlText w:val="•"/>
      <w:lvlJc w:val="left"/>
      <w:pPr>
        <w:tabs>
          <w:tab w:val="num" w:pos="3600"/>
        </w:tabs>
        <w:ind w:left="3600" w:hanging="360"/>
      </w:pPr>
      <w:rPr>
        <w:rFonts w:ascii="Times New Roman" w:hAnsi="Times New Roman" w:hint="default"/>
      </w:rPr>
    </w:lvl>
    <w:lvl w:ilvl="5" w:tplc="7B6A086A" w:tentative="1">
      <w:start w:val="1"/>
      <w:numFmt w:val="bullet"/>
      <w:lvlText w:val="•"/>
      <w:lvlJc w:val="left"/>
      <w:pPr>
        <w:tabs>
          <w:tab w:val="num" w:pos="4320"/>
        </w:tabs>
        <w:ind w:left="4320" w:hanging="360"/>
      </w:pPr>
      <w:rPr>
        <w:rFonts w:ascii="Times New Roman" w:hAnsi="Times New Roman" w:hint="default"/>
      </w:rPr>
    </w:lvl>
    <w:lvl w:ilvl="6" w:tplc="163A0B2E" w:tentative="1">
      <w:start w:val="1"/>
      <w:numFmt w:val="bullet"/>
      <w:lvlText w:val="•"/>
      <w:lvlJc w:val="left"/>
      <w:pPr>
        <w:tabs>
          <w:tab w:val="num" w:pos="5040"/>
        </w:tabs>
        <w:ind w:left="5040" w:hanging="360"/>
      </w:pPr>
      <w:rPr>
        <w:rFonts w:ascii="Times New Roman" w:hAnsi="Times New Roman" w:hint="default"/>
      </w:rPr>
    </w:lvl>
    <w:lvl w:ilvl="7" w:tplc="1DF0F3DE" w:tentative="1">
      <w:start w:val="1"/>
      <w:numFmt w:val="bullet"/>
      <w:lvlText w:val="•"/>
      <w:lvlJc w:val="left"/>
      <w:pPr>
        <w:tabs>
          <w:tab w:val="num" w:pos="5760"/>
        </w:tabs>
        <w:ind w:left="5760" w:hanging="360"/>
      </w:pPr>
      <w:rPr>
        <w:rFonts w:ascii="Times New Roman" w:hAnsi="Times New Roman" w:hint="default"/>
      </w:rPr>
    </w:lvl>
    <w:lvl w:ilvl="8" w:tplc="4A122A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3CC5EDA"/>
    <w:multiLevelType w:val="hybridMultilevel"/>
    <w:tmpl w:val="5C80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4A"/>
    <w:rsid w:val="00042214"/>
    <w:rsid w:val="00074C77"/>
    <w:rsid w:val="001F44C0"/>
    <w:rsid w:val="00285E50"/>
    <w:rsid w:val="003A4AFD"/>
    <w:rsid w:val="003D72C4"/>
    <w:rsid w:val="00402120"/>
    <w:rsid w:val="004070C1"/>
    <w:rsid w:val="0059037A"/>
    <w:rsid w:val="00610356"/>
    <w:rsid w:val="00677246"/>
    <w:rsid w:val="006C4202"/>
    <w:rsid w:val="00764849"/>
    <w:rsid w:val="008F394A"/>
    <w:rsid w:val="00A304BD"/>
    <w:rsid w:val="00B5626C"/>
    <w:rsid w:val="00D452D3"/>
    <w:rsid w:val="00EC1247"/>
    <w:rsid w:val="00EC6493"/>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94A"/>
    <w:pPr>
      <w:ind w:left="720"/>
      <w:contextualSpacing/>
    </w:pPr>
  </w:style>
  <w:style w:type="character" w:styleId="Hyperlink">
    <w:name w:val="Hyperlink"/>
    <w:basedOn w:val="DefaultParagraphFont"/>
    <w:uiPriority w:val="99"/>
    <w:unhideWhenUsed/>
    <w:rsid w:val="00074C77"/>
    <w:rPr>
      <w:color w:val="0000FF" w:themeColor="hyperlink"/>
      <w:u w:val="single"/>
    </w:rPr>
  </w:style>
  <w:style w:type="paragraph" w:styleId="Header">
    <w:name w:val="header"/>
    <w:basedOn w:val="Normal"/>
    <w:link w:val="HeaderChar"/>
    <w:uiPriority w:val="99"/>
    <w:unhideWhenUsed/>
    <w:rsid w:val="006C4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02"/>
  </w:style>
  <w:style w:type="paragraph" w:styleId="Footer">
    <w:name w:val="footer"/>
    <w:basedOn w:val="Normal"/>
    <w:link w:val="FooterChar"/>
    <w:uiPriority w:val="99"/>
    <w:unhideWhenUsed/>
    <w:rsid w:val="006C4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02"/>
  </w:style>
  <w:style w:type="paragraph" w:styleId="BalloonText">
    <w:name w:val="Balloon Text"/>
    <w:basedOn w:val="Normal"/>
    <w:link w:val="BalloonTextChar"/>
    <w:uiPriority w:val="99"/>
    <w:semiHidden/>
    <w:unhideWhenUsed/>
    <w:rsid w:val="006C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02"/>
    <w:rPr>
      <w:rFonts w:ascii="Tahoma" w:hAnsi="Tahoma" w:cs="Tahoma"/>
      <w:sz w:val="16"/>
      <w:szCs w:val="16"/>
    </w:rPr>
  </w:style>
  <w:style w:type="character" w:styleId="CommentReference">
    <w:name w:val="annotation reference"/>
    <w:basedOn w:val="DefaultParagraphFont"/>
    <w:uiPriority w:val="99"/>
    <w:semiHidden/>
    <w:unhideWhenUsed/>
    <w:rsid w:val="00285E50"/>
    <w:rPr>
      <w:sz w:val="16"/>
      <w:szCs w:val="16"/>
    </w:rPr>
  </w:style>
  <w:style w:type="paragraph" w:styleId="CommentText">
    <w:name w:val="annotation text"/>
    <w:basedOn w:val="Normal"/>
    <w:link w:val="CommentTextChar"/>
    <w:uiPriority w:val="99"/>
    <w:semiHidden/>
    <w:unhideWhenUsed/>
    <w:rsid w:val="00285E50"/>
    <w:pPr>
      <w:spacing w:line="240" w:lineRule="auto"/>
    </w:pPr>
    <w:rPr>
      <w:sz w:val="20"/>
      <w:szCs w:val="20"/>
    </w:rPr>
  </w:style>
  <w:style w:type="character" w:customStyle="1" w:styleId="CommentTextChar">
    <w:name w:val="Comment Text Char"/>
    <w:basedOn w:val="DefaultParagraphFont"/>
    <w:link w:val="CommentText"/>
    <w:uiPriority w:val="99"/>
    <w:semiHidden/>
    <w:rsid w:val="00285E50"/>
    <w:rPr>
      <w:sz w:val="20"/>
      <w:szCs w:val="20"/>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94A"/>
    <w:pPr>
      <w:ind w:left="720"/>
      <w:contextualSpacing/>
    </w:pPr>
  </w:style>
  <w:style w:type="character" w:styleId="Hyperlink">
    <w:name w:val="Hyperlink"/>
    <w:basedOn w:val="DefaultParagraphFont"/>
    <w:uiPriority w:val="99"/>
    <w:unhideWhenUsed/>
    <w:rsid w:val="00074C77"/>
    <w:rPr>
      <w:color w:val="0000FF" w:themeColor="hyperlink"/>
      <w:u w:val="single"/>
    </w:rPr>
  </w:style>
  <w:style w:type="paragraph" w:styleId="Header">
    <w:name w:val="header"/>
    <w:basedOn w:val="Normal"/>
    <w:link w:val="HeaderChar"/>
    <w:uiPriority w:val="99"/>
    <w:unhideWhenUsed/>
    <w:rsid w:val="006C4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02"/>
  </w:style>
  <w:style w:type="paragraph" w:styleId="Footer">
    <w:name w:val="footer"/>
    <w:basedOn w:val="Normal"/>
    <w:link w:val="FooterChar"/>
    <w:uiPriority w:val="99"/>
    <w:unhideWhenUsed/>
    <w:rsid w:val="006C4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02"/>
  </w:style>
  <w:style w:type="paragraph" w:styleId="BalloonText">
    <w:name w:val="Balloon Text"/>
    <w:basedOn w:val="Normal"/>
    <w:link w:val="BalloonTextChar"/>
    <w:uiPriority w:val="99"/>
    <w:semiHidden/>
    <w:unhideWhenUsed/>
    <w:rsid w:val="006C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202"/>
    <w:rPr>
      <w:rFonts w:ascii="Tahoma" w:hAnsi="Tahoma" w:cs="Tahoma"/>
      <w:sz w:val="16"/>
      <w:szCs w:val="16"/>
    </w:rPr>
  </w:style>
  <w:style w:type="character" w:styleId="CommentReference">
    <w:name w:val="annotation reference"/>
    <w:basedOn w:val="DefaultParagraphFont"/>
    <w:uiPriority w:val="99"/>
    <w:semiHidden/>
    <w:unhideWhenUsed/>
    <w:rsid w:val="00285E50"/>
    <w:rPr>
      <w:sz w:val="16"/>
      <w:szCs w:val="16"/>
    </w:rPr>
  </w:style>
  <w:style w:type="paragraph" w:styleId="CommentText">
    <w:name w:val="annotation text"/>
    <w:basedOn w:val="Normal"/>
    <w:link w:val="CommentTextChar"/>
    <w:uiPriority w:val="99"/>
    <w:semiHidden/>
    <w:unhideWhenUsed/>
    <w:rsid w:val="00285E50"/>
    <w:pPr>
      <w:spacing w:line="240" w:lineRule="auto"/>
    </w:pPr>
    <w:rPr>
      <w:sz w:val="20"/>
      <w:szCs w:val="20"/>
    </w:rPr>
  </w:style>
  <w:style w:type="character" w:customStyle="1" w:styleId="CommentTextChar">
    <w:name w:val="Comment Text Char"/>
    <w:basedOn w:val="DefaultParagraphFont"/>
    <w:link w:val="CommentText"/>
    <w:uiPriority w:val="99"/>
    <w:semiHidden/>
    <w:rsid w:val="00285E50"/>
    <w:rPr>
      <w:sz w:val="20"/>
      <w:szCs w:val="20"/>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3963">
      <w:bodyDiv w:val="1"/>
      <w:marLeft w:val="0"/>
      <w:marRight w:val="0"/>
      <w:marTop w:val="0"/>
      <w:marBottom w:val="0"/>
      <w:divBdr>
        <w:top w:val="none" w:sz="0" w:space="0" w:color="auto"/>
        <w:left w:val="none" w:sz="0" w:space="0" w:color="auto"/>
        <w:bottom w:val="none" w:sz="0" w:space="0" w:color="auto"/>
        <w:right w:val="none" w:sz="0" w:space="0" w:color="auto"/>
      </w:divBdr>
      <w:divsChild>
        <w:div w:id="1007900340">
          <w:marLeft w:val="547"/>
          <w:marRight w:val="0"/>
          <w:marTop w:val="0"/>
          <w:marBottom w:val="0"/>
          <w:divBdr>
            <w:top w:val="none" w:sz="0" w:space="0" w:color="auto"/>
            <w:left w:val="none" w:sz="0" w:space="0" w:color="auto"/>
            <w:bottom w:val="none" w:sz="0" w:space="0" w:color="auto"/>
            <w:right w:val="none" w:sz="0" w:space="0" w:color="auto"/>
          </w:divBdr>
        </w:div>
      </w:divsChild>
    </w:div>
    <w:div w:id="17426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8/wr/mm6832a3.htm" TargetMode="External"/><Relationship Id="rId13" Type="http://schemas.openxmlformats.org/officeDocument/2006/relationships/hyperlink" Target="https://www.cdc.gov/mmwr/volumes/68/wr/mm6832a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mmunize.org/askexperts/experts_hpv.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mmwr/pdf/rr/rr63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vaccines/vpd/hpv/hcp/administration.html" TargetMode="External"/><Relationship Id="rId4" Type="http://schemas.openxmlformats.org/officeDocument/2006/relationships/settings" Target="settings.xml"/><Relationship Id="rId9" Type="http://schemas.openxmlformats.org/officeDocument/2006/relationships/hyperlink" Target="https://www.cdc.gov/mmwr/volumes/65/wr/mm6549a5.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Lori</dc:creator>
  <cp:lastModifiedBy>Saul, Lori</cp:lastModifiedBy>
  <cp:revision>2</cp:revision>
  <dcterms:created xsi:type="dcterms:W3CDTF">2019-08-19T15:46:00Z</dcterms:created>
  <dcterms:modified xsi:type="dcterms:W3CDTF">2019-08-19T15:46:00Z</dcterms:modified>
</cp:coreProperties>
</file>